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enterprise value for the Shares is USD 40,000,000, on a cash-free, debt-free basis and assuming delivery of normalized working capital. The equity purchase price shall equal that amount, plus unrestricted Company cash and cash equivalents, less outstanding indebtedness, specifically agreed debt-like items and unpaid Company transaction expenses, and plus or minus the amount by which Closing working capital exceeds or falls short of an agreed normalized target. Before signing, the parties shall agree the target, adjustment definitions, illustrative calculation and accounting policies. No item shall be counted more than once, including across adjustments and indemnity recoveries; working capital shall exclude cash, indebtedness, debt-like items and transaction expenses otherwise included in the calculation. Seller shall deliver a good-faith estimated Closing statement at least five Business Days before Closing. Buyer shall pay the estimated equity purchase price at Closing by wire transfer of immediately available funds to Seller's designated account, less the agreed escrow deposit, without set-off or deduction except withholding required by law. Buyer shall give reasonable prior notice of required withholding, cooperate to minimize it lawfully and provide evidence of remittance. Buyer shall deliver completion accounts within 60 days after Closing; Seller shall have 30 days to object, with access to supporting records. Unresolved accounting disputes shall be referred to an independent accountant jointly appointed by the parties, acting as expert within the disputed items and the parties' respective submissions. Any final adjustment shall be paid within five Business Days after determination. Established indemnity claims may be recovered from the escrow in accordance with Clause 5; disputed claims shall not permit unilateral set-off against the purchase price.</w:t>
      </w:r>
    </w:p>
    <w:p>
      <w:r>
        <w:t>2. Closing. The parties shall target Closing within 30 days after signing and use commercially reasonable efforts to complete diligence before signing and obtain required approvals promptly. Signing shall follow satisfactory completion of Buyer's diligence; there shall be no discretionary diligence or financing condition thereafter. Closing shall occur within five Business Days after satisfaction or lawful waiver of the conditions, subject to conditions to be satisfied at Closing. Conditions shall include required regulatory and third-party approvals identified in the Agreement, absence of any applicable legal restraint, performance in all material respects of each party's pre-Closing covenants, and accuracy of each party's representations at Closing as if repeated then (except representations expressly made as of an earlier date). Fundamental representations shall be accurate in all material respects; other representation inaccuracies shall excuse Closing only if, individually or collectively, they have a material adverse effect on the Company or the relevant party's ability to complete. Payment, escrow funding and delivery of instruments transferring the Shares shall occur simultaneously. Either party may terminate if Closing has not occurred within 90 days after signing, provided its material breach has not caused the failure to close; if only regulatory approval remains outstanding, that date shall be extended once by 30 days. Either party may also terminate for a final, nonappealable legal prohibition or the other's material breach preventing satisfaction of a Closing condition and not cured within 20 Business Days after notice or, if earlier, the outside date. Termination shall not affect accrued rights for prior breach or surviving confidentiality obligations.</w:t>
      </w:r>
    </w:p>
    <w:p>
      <w:r>
        <w:t>3. Representations. The definitive Agreement shall identify the financial statements and specify the applicable accounting framework as either US GAAP or IFRS, as appropriate to the Company's historical reporting and expressly agreed before signing (the Agreed Framework). Except as fairly disclosed in the signing disclosure schedules with sufficient detail to identify the nature and scope of the exception, Seller represents that those statements fairly present, in all material respects, the Company's financial position and results of operations as of and for the periods specified, in accordance with the Agreed Framework consistently applied. Unaudited statements shall be qualified only for normal recurring year-end adjustments that are not material individually or in the aggregate and omitted footnotes whose omission does not render the statements misleading. A disclosure shall qualify another representation only where its relevance is reasonably apparent on its face; mere inclusion of documents in a data room shall not constitute disclosure. Seller further represents that the Company has no liabilities required to be reflected or reserved against on a balance sheet prepared under the Agreed Framework, except liabilities reflected or adequately reserved against in the identified latest balance sheet, fairly disclosed in the schedules, incurred in the ordinary course since that balance sheet date (excluding liabilities arising from breach of contract or law), or incurred pursuant to this Agreement. Seller shall also give customary representations as to its authority, title to the Shares free of encumbrances other than agreed permitted encumbrances, and Company taxes, with detailed scope and qualifications agreed before signing. Buyer shall represent its authority and availability of funds to complete. Representations shall be repeated at Closing, subject to the standards in Clause 2. Subsequent disclosures shall not cure a signing breach or qualify the Closing repetition without Buyer's written agreement.</w:t>
      </w:r>
    </w:p>
    <w:p>
      <w:r>
        <w:t>5. Indemnification. Subject to agreed procedures and limitations, Seller shall indemnify Buyer for actual losses arising from breaches of Seller's representations and covenants and Company taxes attributable to pre-Closing periods, excluding taxes already reflected in the final purchase price. Buyer shall indemnify Seller for breaches of Buyer's representations and covenants. General representations shall survive for 18 months after Closing. General representation claims shall be subject to a USD 40,000 per-claim threshold, a deductible basket equal to 1% of the final equity purchase price and an aggregate cap equal to 10% of that price. At Closing, 5% of the estimated equity purchase price shall be deposited with an independent escrow agent for 18 months as security for Seller's indemnity obligations; the balance not reasonably reserved for timely notified claims shall then be released to Seller. Escrow payments require joint written instructions or a final binding determination; escrow is security, not an additional recovery or an expansion of liability. Title and authority claims shall survive for six years, tax claims until 60 days after the applicable limitation period, and covenants for their stated term or applicable limitation period. Those claims shall not be subject to the general basket, per-claim threshold or 10% cap, but Seller's aggregate liability other than for its own fraud shall not exceed the final equity purchase price received by Seller. No contractual cap, basket or survival limit shall apply to a party's own actual intentional fraud, and no party shall be liable for another person's fraud solely by attribution. Timely claims specifying their factual basis and a reasonable estimate of loss shall survive until resolved. The definitive Agreement shall include reasonable claim-notice, defense-control and settlement-consent procedures, mitigation duties, credit for insurance and other recoveries net of recovery costs, and prohibitions on double recovery, including for matters reflected in price adjustments. Neither party shall recover punitive damages except amounts payable to third parties. Indemnification shall be the exclusive post-Closing monetary remedy for contractual breaches, without limiting price-adjustment rights, equitable relief or claims for actual intentional fraud.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