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 without set-off or deduction, except as required by applicable law.</w:t>
      </w:r>
    </w:p>
    <w:p>
      <w:r>
        <w:t>2. Closing. Closing shall occur within 30 days of signing, subject to satisfaction or waiver by the party entitled to their benefit of the closing conditions expressly set out in this Agreement, or on such other date as the parties agree in writing.</w:t>
      </w:r>
    </w:p>
    <w:p>
      <w:r>
        <w:t>3. Representations. Except as disclosed in the disclosure schedules delivered by the Seller at signing, the Seller represents that the financial statements delivered to the Buyer have been prepared in accordance with the applicable accounting standards consistently applied and fairly present, in all material respects, the financial position and results of operations of the Company as of their respective dates and for the periods covered, subject, in the case of unaudited financial statements, to normal year-end adjustments and the absence of footnotes.</w:t>
      </w:r>
    </w:p>
    <w:p>
      <w:r>
        <w:t>4. Confidentiality. Each party shall keep the terms of this Agreement and the negotiations confidential, except for disclosures required by applicable law or regulation or made to its professional advisers, financing sources or representatives who need to know such information and are bound by confidentiality obligations. Where legally permitted, a party required to disclose shall give the other party reasonable advance notice and cooperate in limiting the disclosure. No public announcement shall be made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