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Adjustments. The proposed purchase price for the Shares is USD 40,000,000 on a cash-free, debt-free basis, assuming delivery of an agreed normalized level of working capital. The final price shall equal that amount plus Closing cash, less Closing indebtedness and unpaid Seller transaction expenses, and plus or minus the difference between Closing working capital and the agreed target. Definitions, the target and illustrative calculations shall be agreed before signing; no item shall be counted more than once. Accounting policies specifically agreed for the adjustment shall take precedence, followed by the accounting standards identified in Section 3, consistently applied. The Seller shall provide an estimated closing statement at least three business days before Closing. The Buyer shall pay the estimated price in immediately available funds at Closing, less the agreed indemnity escrow. The Buyer shall deliver its proposed final closing statement within 60 days after Closing; the Seller shall have 30 days to review and object, with reasonable access to supporting records and personnel. Unresolved accounting disputes shall be referred to an independent accountant jointly appointed by the parties, acting as expert and limited to disputed items and the parties' respective positions. Any final adjustment shall be paid within five business days after determination. No set-off or deduction is permitted except these agreed adjustments, required withholding under applicable law, or indemnity recoveries expressly permitted under Section 6, without double recovery. Any legally required withholding shall be remitted to the appropriate authority and evidenced to the Seller.</w:t>
      </w:r>
    </w:p>
    <w:p>
      <w:r>
        <w:t>2. Closing and Conditions. Closing shall occur within five business days after satisfaction or permitted waiver by the party entitled to the benefit of the applicable conditions, other than conditions to be satisfied at Closing, which must then be satisfied or permittedly waived. Conditions shall include required regulatory approvals and material third-party consents identified in an agreed schedule, absence of legal restraints, material compliance by each party with its pre-Closing covenants, delivery of the Shares free of liens, and delivery of the purchase price and other agreed closing deliverables. Seller fundamental representations shall be accurate in all material respects at Closing; other Seller representations shall be accurate except for inaccuracies that, individually or in the aggregate, would not constitute a material adverse effect, under a definition to be agreed before signing. Representations made as of a specified date shall be tested as of that date. Buyer authority representations shall be accurate in all material respects at Closing. Buyer diligence, internal approvals and financing arrangements shall be completed before signing and shall not constitute discretionary post-signing conditions. A calendar outside date and any limited regulatory extension shall be agreed and inserted before signing. Either party may terminate if Closing has not occurred by that date, except a party whose breach caused the failure to close; accrued rights for breach shall survive termination.</w:t>
      </w:r>
    </w:p>
    <w:p>
      <w:r>
        <w:t>3. Representations and Disclosure. The Seller shall deliver complete disclosure schedules sufficiently in advance of signing to permit meaningful review. A disclosure shall qualify the representation to which it relates and any other representation only where its relevance is reasonably apparent on its face. Subject to those schedules, the Seller represents that the financial statements delivered to the Buyer have been prepared in accordance with the accounting standards expressly identified and agreed before signing, consistently applied, and fairly present, in all material respects, the Company's financial position and results of operations as of their respective dates and for the periods covered. Unaudited statements are subject to absence of footnotes and normal year-end adjustments that are not materially adverse. The definitive agreement shall include customary Seller representations regarding ownership and unencumbered title to the Shares, authority and enforceability, capitalization, taxes, absence of undisclosed material liabilities, material litigation and material compliance with applicable law. Business representations shall be subject to negotiated materiality, knowledge and temporal qualifications; title, authority and capitalization representations shall not be knowledge-qualified. The Buyer shall give customary authority, enforceability and available-funds representations. Exact representation language and qualifications shall be settled before signing.</w:t>
      </w:r>
    </w:p>
    <w:p>
      <w:r>
        <w:t>6. Proposed Indemnity Framework. The definitive agreement shall provide indemnification for breaches of representations and covenants and an agreed indemnity for pre-Closing taxes. Ordinary business representations shall survive for 12 months after Closing, with an aggregate deductible basket of 1% of the final purchase price and an aggregate cap of 10% of that price. At Closing, 5% of the estimated purchase price shall be placed with an independent escrow agent on jointly agreed terms as the exclusive source of recovery for ordinary business-representation claims; the balance shall be released after 12 months, less reasonable reserves for timely notified, specifically described unresolved claims. Title, authority and capitalization representations shall survive for six years, without the basket and subject to an aggregate cap equal to the final purchase price. Tax claims shall survive until 60 days after expiry of the applicable statutory limitation period, without the basket and subject to that same aggregate purchase-price cap. Covenant claims shall be subject to expressly agreed claim periods and limits. Claims validly notified within the applicable period shall survive until resolved. Fraud by the Seller shall not benefit from contractual liability limitations. Recoveries shall exclude duplicative amounts, matters already reflected in price adjustments or specific provisions, and amounts actually recovered from insurance or third parties, net of reasonable recovery costs. The Buyer shall mitigate loss. No escrow amount shall be distributed on a contested claim without joint written instructions or final binding determination. The agreement shall contain customary claim-notice, third-party defense and settlement procedures, and exclusive contractual remedies after Closing, subject to fraud and agreed equitable relief. These proposed limits and security arrangements remain subject to agreement before signing.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