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aggregate enterprise value for the Shares shall be USD 41,000,000, on a cash-free, debt-free basis and assuming delivery of normalized working capital. The purchase price payable for the Shares shall equal that amount plus Closing cash, less Closing indebtedness and unpaid Company transaction expenses, and plus or minus the amount by which Closing working capital exceeds or falls short of the agreed normalized working-capital target. Before signing, the parties shall agree a schedule specifying the target, definitions, accounting policies and an illustrative calculation, with no double counting among adjustment items. The Seller shall deliver a good-faith estimated closing statement at least three business days before Closing. The Buyer shall deliver proposed final closing accounts within 60 days after Closing; the Seller shall have 30 days to review and object, with reasonable access to supporting records. Unresolved accounting disputes shall be determined by an independent accountant jointly appointed by the parties, acting as expert and confined to disputed items and the agreed accounting policies. Any resulting adjustment shall be paid within five business days after final determination. At Closing, the Buyer shall pay the estimated purchase price, less the escrow described in Clause 3, by wire transfer of immediately available funds to the Seller's designated account and shall deposit the escrow with the agreed independent escrow agent. Wire instructions shall be delivered in writing and independently verified by callback using previously established contact details; any change shall undergo the same verification.</w:t>
      </w:r>
    </w:p>
    <w:p>
      <w:r>
        <w:t>2. Closing. The parties shall use commercially reasonable efforts to achieve Closing within 30 days after signing. Closing shall be subject to receipt of required regulatory and corporate approvals, absence of any legal prohibition, performance in all material respects of pre-Closing obligations, accuracy of representations at Closing subject to agreed materiality standards, and delivery of the closing documents specifically agreed at signing, or waiver of a condition by the party entitled to its benefit where legally permissible. The Buyer shall complete satisfactory diligence before signing; there shall be no separate post-signing diligence or financing condition. At Closing, payment and deposit of the amounts required under Clause 1 and delivery of duly executed share transfers, share certificates where applicable, and other agreed evidence transferring the Shares free of liens and encumbrances shall occur simultaneously. Neither party shall be required to release its Closing deliveries before the corresponding deliveries are available for simultaneous release. If Closing has not occurred within 60 days after signing, either party may terminate by written notice, provided that the terminating party's breach has not caused the failure to close. The parties may extend that outside date by written agreement. Termination shall not affect accrued claims for breach or continuing confidentiality obligations.</w:t>
      </w:r>
    </w:p>
    <w:p>
      <w:r>
        <w:t>3. Representations and Indemnification. Except as specifically disclosed in the agreed disclosure schedule against the relevant representation, the Seller represents at signing and Closing that: (a) it owns the Shares and has authority to enter into and perform this Agreement and to transfer the Shares free of liens and encumbrances; (b) this Agreement has been duly authorized and executed by the Seller and constitutes its binding obligation, subject to applicable insolvency laws and equitable principles; (c) the financial statements delivered to the Buyer fairly present, in all material respects, the Company's financial position and results of operations as of their respective dates and for the periods covered, in accordance with the accounting principles identified in them, consistently applied; interim statements may omit footnotes and are subject only to normal, recurring year-end adjustments that are not materially adverse; (d) the Company has no material liabilities required to be reflected under those accounting principles other than liabilities reflected or reserved in those statements or incurred in the ordinary course since the latest balance-sheet date; (e) the Company has timely filed all material tax returns required of it, such returns are accurate in all material respects, all material taxes due have been paid or adequately reserved, and no material tax dispute is pending or, to the Seller's knowledge, threatened in writing; and (f) the disclosure schedule identifies all material contracts, each is in force, the Company is not in material default under any such contract and, to the Seller's knowledge, no counterparty is in material default or has given written notice of termination. Ordinary-course liabilities under paragraph (d) shall not include liabilities arising from a breach of contract or law. General data-room access or other pre-signing correspondence shall not itself qualify a representation. The Buyer represents that it has authority to enter into and perform this Agreement and will have funds available at Closing to make all required payments.</w:t>
        <w:br/>
        <w:t>The Seller shall indemnify the Buyer for actual losses arising from breaches of the Seller's representations or covenants, and the Buyer shall indemnify the Seller for actual losses arising from breaches of the Buyer's representations or covenants, without double recovery. General representations shall survive for 12 months after Closing. Claims for breach of general Seller representations shall be subject to a deductible basket equal to 1% of the purchase price and an aggregate cap equal to 10% of the purchase price. Title and authority representations shall survive for six years and tax representations until 60 days after expiry of the applicable statutory assessment period; claims for these representations shall not be subject to the basket and, together with all other Seller claims, shall not exceed the purchase price received by the Seller. Covenants shall survive for their stated duration or, if none, the applicable limitation period. No limitation shall protect a party from its own fraud. A claim notified in reasonable detail before expiry of its survival period shall survive until resolved. Losses shall be reduced by insurance proceeds and other recoveries actually received, net of reasonable recovery costs, and shall exclude punitive damages except amounts payable to third parties. The parties shall reasonably mitigate losses, and no claim may recover an amount already reflected in the purchase-price adjustments. Third-party claims shall be subject to prompt notice, reasonable defense rights and no settlement imposing liability or nonmonetary obligations on the indemnified party without its consent. At Closing, 5% of the estimated purchase price shall be deposited in escrow for 12 months as security for Seller indemnity claims, with release at expiry except for amounts reasonably reserved for timely notified unresolved claims. Escrow is security, not an additional recovery or an increase in any liability cap. Following Closing, indemnification shall be the exclusive monetary remedy for representation breaches, except for fraud; this shall not restrict purchase-price adjustments or equitable relief.</w:t>
      </w:r>
    </w:p>
    <w:p>
      <w:r>
        <w:t>4. Confidentiality. Each party shall keep confidential the terms and existence of this Agreement, the negotiations and all nonpublic information received concerning the other party or the Company in connection with the transaction, including diligence information, and shall use that information solely to evaluate, finance or implement the transaction. These restrictions shall not apply to information demonstrably public other than through breach, already lawfully known without restriction, independently developed without use of confidential information, or lawfully received from a third party without a confidentiality duty. Disclosure may be made to professional advisers, financing sources and representatives who need to know for that purpose and are bound by professional duties or confidentiality obligations no less protective than this Clause; each party shall be responsible for breaches by its permitted recipients. Disclosure required by law, regulation or binding legal process is permitted, provided that, to the extent legally permitted, the disclosing party gives prior notice, reasonably cooperates in seeking protective treatment and discloses only what is legally required. Neither party shall make a public announcement concerning the transaction without the other's prior written consent, which shall not be unreasonably withheld or delayed, except for required disclosures subject to the preceding sentence. If the transaction does not complete, confidential information shall, on request, be returned or destroyed, except for legally required archival copies and routine backups, which shall remain protected. This Clause shall survive termination for three years, and trade secrets shall remain protected for so long as they qualify as trade secrets.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