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SHARE PURCHASE AGREEMENT</w:t>
      </w:r>
    </w:p>
    <w:p>
      <w:r>
        <w:t>1. Purchase Price. The Buyer shall pay the Seller USD 45,000,000 for the Shares at Closing by wire transfer of immediately available funds to an account designated in writing by the Seller.</w:t>
      </w:r>
    </w:p>
    <w:p>
      <w:r>
        <w:t>2. Closing. Closing shall occur within 30 days of signing, on a date agreed in writing by the parties. At Closing, payment of the Purchase Price and delivery of the documents required to transfer the Shares shall occur simultaneously.</w:t>
      </w:r>
    </w:p>
    <w:p>
      <w:r>
        <w:t>3. Representations. The Seller represents that the financial statements are accurate.</w:t>
      </w:r>
    </w:p>
    <w:p>
      <w:r>
        <w:t>4. Confidentiality. The terms of this Agreement are confidential.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Share Purchase Agreement (Draft)</dc:title>
  <dc:subject/>
  <dc:creator>Drafting Associate, Aldous Finch LLP</dc:creator>
  <cp:keywords/>
  <dc:description/>
  <cp:lastModifiedBy/>
  <cp:revision>1</cp:revision>
  <dcterms:created xsi:type="dcterms:W3CDTF">2013-12-23T23:15:00Z</dcterms:created>
  <dcterms:modified xsi:type="dcterms:W3CDTF">2013-12-23T23:15:00Z</dcterms:modified>
  <cp:category/>
</cp:coreProperties>
</file>