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proposed enterprise value for the Shares is USD 40,000,000, on a cash-free, debt-free basis assuming delivery of normalized working capital. The equity purchase price shall equal that amount plus unrestricted cash acquired by the Buyer, less outstanding indebtedness and unpaid Seller transaction expenses borne by the acquired company, plus or minus the difference between Closing working capital and an agreed normalized target. Definitions, illustrative calculations, the target and accounting policies must be agreed before signing, using consistent historical accounting policies except as expressly agreed. Working capital shall exclude cash, indebtedness, Seller transaction expenses and tax balances separately accounted for elsewhere. No item shall be counted more than once, including under price adjustments, leakage recovery or indemnification. Distributions or other value transfers to the Seller or its affiliates between signing and Closing are prohibited except as specifically scheduled and agreed; any prohibited transfer not otherwise reflected in the price shall reduce the price dollar for dollar. There shall be no separate locked-box leakage charge for value already captured in the Closing accounts. The Seller shall provide an estimated Closing statement at least three business days before Closing. At Closing, the Buyer shall pay the estimated equity purchase price, less the agreed escrow, by wire transfer of immediately available funds to the Seller's designated account, with any agreed debt payoffs and escrow funding made simultaneously. The Buyer shall deliver proposed final Closing accounts within 60 days after Closing; the Seller shall have 30 days to review and dispute them with reasonable access to supporting records. Unresolved accounting items shall be submitted to an independent accountant jointly appointed by the parties, acting as an expert within the disputed items and amounts only. Undisputed amounts shall be paid promptly, and remaining amounts within five business days after final determination. These mechanics do not permit a unilateral repricing following diligence.</w:t>
      </w:r>
    </w:p>
    <w:p>
      <w:r>
        <w:t>2. Diligence, Interim Conduct, Closing and Termination. Before signing, the Buyer shall complete its business, financial, tax and legal diligence to its reasonable satisfaction, and the parties shall agree the disclosure schedules, escrow agreement and other definitive documentation. Diligence satisfaction shall not remain a discretionary post-signing Closing condition. Until Closing, the Seller shall cause the acquired company to operate in the ordinary course, preserve material assets and relationships, and refrain, without the Buyer's consent (not unreasonably withheld, conditioned or delayed), from distributions, related-party value transfers, new share issuances, material acquisitions or disposals, extraordinary indebtedness, material changes to employment arrangements, or entry into or termination of material contracts outside the ordinary course, except as expressly scheduled or required by law. Subject to confidentiality, privilege, applicable law and reasonable noninterference safeguards, the Seller shall provide reasonable access to personnel, premises, financial information, material contracts and other reasonably requested diligence materials; customer or employee contact requires prior Seller consent. The parties shall use commercially reasonable efforts to obtain required approvals and consents, without requiring the Seller to incur material unagreed costs or concessions. Closing is targeted for 30 days after signing and shall occur within five business days after satisfaction or lawful waiver of the conditions, subject to an outside date 60 days after signing. Conditions shall include required regulatory approvals and identified material third-party consents; absence of a legal prohibition; accuracy of fundamental representations in all material respects and of other representations except for inaccuracies not constituting a Material Adverse Change; material covenant compliance; absence of a Material Adverse Change; and tender of agreed deliverables. Material Adverse Change means a material adverse effect on the acquired business taken as a whole, excluding general economic, industry, market or legal changes except to the extent disproportionately affecting that business relative to comparable businesses. Buyer financing is not a Closing condition. Seller deliverables shall include duly executed share transfers and certificates or equivalent evidence of title, required corporate approvals and resignations, and agreed payoff letters and releases of security; Buyer deliverables shall include payment, escrow funding and required approvals. Either party may terminate by mutual agreement, upon a final nonappealable prohibition, or if Closing has not occurred by the outside date, provided the terminating party's material breach did not cause the failure to close. A nonbreaching party may terminate for a material breach preventing satisfaction of a Closing condition if uncured within 15 days after notice or, if earlier, the outside date. Termination shall preserve accrued liability for prior breach and the confidentiality and dispute-resolution provisions.</w:t>
      </w:r>
    </w:p>
    <w:p>
      <w:r>
        <w:t>3. Representations, Disclosures and Indemnification. At signing and Closing, subject to specifically identified disclosure schedules delivered and agreed before signing, the Seller shall represent: its capacity, authority and due authorization; enforceability subject to customary insolvency and equitable limitations; ownership and unencumbered title to the Shares; accurate capitalization and absence of undisclosed rights to acquire securities; that identified financial statements fairly present the acquired company's financial position and results in all material respects under the agreed accounting framework; absence of material liabilities other than those reflected or reserved in those statements, disclosed in the schedules, or incurred in the ordinary course since their date; material compliance with tax filing and payment obligations; identification and status of material contracts and absence of material defaults; absence of material pending or, to Seller's knowledge, threatened litigation; material compliance with applicable laws and permits; material compliance concerning employees and benefit arrangements; ownership or valid rights to use material intellectual property and, to Seller's knowledge, absence of material infringement claims; and ownership or valid rights to use material operating assets. Detailed scope, materiality and knowledge qualifications shall be agreed in definitive documentation; knowledge shall mean actual knowledge of identified individuals after reasonable inquiry of responsible personnel. The Buyer shall represent its authority, authorization, enforceability and availability of funds sufficient to complete Closing. No representation is made as to projections, future performance or information outside the express contractual representations; nothing shall exclude liability for actual fraud. Subject to agreed procedures, the Seller shall indemnify the Buyer for direct losses from breaches of Seller representations or covenants and pre-Closing taxes not already reflected in the price, and the Buyer shall indemnify the Seller for breaches of Buyer representations or covenants. General representations shall survive 18 months; authority, title and capitalization representations shall survive six years; tax representations and pre-Closing tax claims shall survive until 60 days after expiration of the applicable limitation period. Covenants shall survive according to their terms. Timely notified claims specifying their reasonable factual basis shall survive until resolved. General representation claims shall be subject to a deductible basket of 1% of the final equity purchase price and an aggregate cap of 10% of that price. At Closing, 5% of the equity purchase price shall be deposited with an independent escrow agent for 18 months as security, with release of the balance less reasonably reserved timely claims. Recovery for general representation claims shall be limited to that escrow; fundamental representation and pre-Closing tax claims may be recovered directly, subject to an aggregate cap equal to the equity purchase price. Covenant liability shall be addressed expressly in the definitive agreement. Actual fraud by the person against whom relief is sought shall not be subject to these contractual limitations. Claims shall require reasonable mitigation, reduction for actual insurance or third-party recoveries net of recovery costs, no double recovery, and customary notice, defense-control and settlement-consent procedures. Except for actual fraud, equitable relief and price-adjustment remedies, the agreed indemnification regime shall be the exclusive post-Closing remedy.</w:t>
      </w:r>
    </w:p>
    <w:p>
      <w:r>
        <w:t>4. Confidentiality and General Provisions. Each party shall keep confidential the negotiations, transaction terms and nonpublic information received from the other party, use that information solely to evaluate and complete the transaction, and disclose it only to representatives and financing sources with a need to know who are bound by confidentiality duties. Exceptions apply to information lawfully public without breach, already lawfully known, independently developed, or lawfully received from a third party without restriction. Legally compelled disclosure is permitted after advance notice where lawful and reasonable cooperation to seek protective treatment. Public announcements require mutual approval except where legally required. On termination, confidential information shall be returned or destroyed on request, subject to legal retention requirements and secure archival backups remaining protected. Existing confidentiality obligations shall continue, and these obligations shall survive termination for two years, with trade secrets protected while qualifying as such. Definitive documentation shall specify a mutually agreed governing law and exclusive court forum; neither is selected by this draft. It shall also include written notices to each party's designated address and email, with actual-receipt rules; an entire-agreement provision preserving expressly identified confidentiality arrangements; amendments and waivers only in signed writing; no assignment without consent; no third-party beneficiaries except expressly identified indemnified persons; severability; counterparts and electronic signatures; and each party bearing its own transaction expenses. Unresolved governing-law, forum, notice particulars and other expressly open terms must be agreed before execution. This draft is a nonbinding negotiating proposal and creates no obligation to sell, purchase or continue negotiations unless and until definitive documentation is executed; any existing binding confidentiality agreement remains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