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proposed purchase price for the Shares is USD 40,000,000, subject to Seller approval and agreement on customary cash, debt, unpaid transaction-expense and working-capital adjustments. Before signing, the parties shall agree definitions, the working-capital target, accounting policies, a sample calculation, preparation and review procedures, and resolution of disputed adjustment items by an independent accountant acting as expert. Adjustments shall avoid double counting. The estimated adjusted Purchase Price shall be payable in full at Closing by wire transfer of immediately available funds to the Seller's designated account, with a post-Closing true-up under those procedures. The Buyer shall independently verify the Seller's wire instructions, and any changes, by callback to a previously authenticated Seller contact using independently established contact details. Payment and delivery of the Shares, free and clear of liens and with duly executed transfer instruments, shall occur concurrently.</w:t>
      </w:r>
    </w:p>
    <w:p>
      <w:r>
        <w:t>2. Closing. The parties shall target Closing within 30 days after signing, on a mutually agreed date, provided the agreed closing conditions have been satisfied or, where legally permissible, waived by the party entitled to their benefit. Conditions shall include legally required approvals, absence of any legal prohibition, performance in all material respects of pre-Closing covenants, accuracy of representations subject to agreed materiality standards, and delivery of the agreed Closing documents. Diligence shall be completed to the Buyer's satisfaction before signing; no discretionary diligence or financing condition shall apply after signing unless expressly agreed. Each party shall use commercially reasonable efforts to satisfy the conditions applicable to it. The proposed outside date is 60 days after signing, extendable by written agreement. Either party may terminate by written notice if Closing has not occurred by the outside date, unless that party's material breach caused the failure to close; either party may also terminate for a final, nonappealable legal prohibition or the other party's material breach that prevents satisfaction of a closing condition and remains uncured for 15 days after written notice. The parties may terminate by mutual written agreement. Termination shall not affect accrued liability for pre-termination breach, and confidentiality shall survive.</w:t>
      </w:r>
    </w:p>
    <w:p>
      <w:r>
        <w:t>3. Representations and Indemnification. Exceptions to the Seller's representations shall be limited to a specific disclosure schedule delivered to and agreed with the Buyer before signing, identifying the representation qualified; cross-disclosure shall apply only where its relevance is reasonably apparent on its face. Other prior communications shall not qualify the representations. The definitive agreement shall identify the applicable accounting principles expressly before signing. Subject to that schedule, the Seller shall represent at signing and Closing that: (a) the identified financial statements fairly present, in all material respects, the Company's financial position and results for the dates and periods covered in accordance with those accounting principles, consistently applied, subject, for unaudited statements, only to normal, nonmaterial year-end adjustments and absence of footnotes; (b) the Company has no liabilities required to be reflected or reserved under those principles other than those reflected or reserved in the identified statements, incurred in the ordinary course since their balance-sheet date, or arising under the transaction documents; (c) the Seller owns the Shares and will transfer good title free of liens; (d) the Seller has authority to execute and perform the agreement, which constitutes its binding obligation subject to customary enforceability exceptions; (e) the Company has timely filed all material required tax returns, those returns are materially accurate, all material taxes due have been paid or properly reserved, and no material tax dispute is pending or, to the Seller's knowledge, threatened in writing; and (f) the schedule identifies all material contracts under agreed criteria, each is in force subject to customary enforceability exceptions, the Company is not in material default, and, to the Seller's knowledge, no counterparty is in material default. The Buyer shall give reciprocal authority and enforceability representations and represent that it has sufficient immediately available funds at Closing.</w:t>
        <w:br/>
        <w:t>The proposed indemnification framework is as follows: general representations survive for 18 months after Closing; title and authority representations survive for six years; and tax representations survive until 60 days after expiration of the applicable statutory limitation period. Claims notified with reasonable particulars before expiration survive until resolved. The Seller shall indemnify the Buyer for direct losses arising from breaches of Seller representations and covenants and pre-Closing Company taxes under an agreed tax covenant, without duplicate recovery. General representation claims shall be subject to a USD 25,000 per-claim de minimis, a deductible basket equal to 1% of the final Purchase Price and an aggregate cap of 10% of that price. Title, authority and tax claims shall be excluded from the de minimis, basket and general cap but subject to an aggregate cap equal to the final Purchase Price. Covenant liability shall be addressed expressly in the definitive agreement. Recovery shall be reduced by actual insurance recoveries and actual tax benefits, net of reasonable recovery costs, and subject to reasonable mitigation. No recovery shall be available for amounts already reflected in the price adjustments. Third-party claims shall be subject to prompt notice, protection against prejudice from delayed notice, appropriate defense control and no settlement imposing admissions or nonmonetary obligations on the indemnified party without its consent. Indemnification shall be the exclusive post-Closing monetary remedy except for fraud by the party against whom relief is sought; equitable relief shall remain available. No limitation shall protect a party against its own fraud.</w:t>
      </w:r>
    </w:p>
    <w:p>
      <w:r>
        <w:t>4. Confidentiality. Each party shall keep the terms of this Agreement confidential and shall not disclose them without the other party's prior written consent, except on a need-to-know basis to its relevant personnel, professional advisers, financing sources and other representatives who are bound by appropriate contractual or professional confidentiality obligations, or as required by applicable law or legal process. Each party shall be responsible for compliance with this provision by persons to whom it discloses the terms. To the extent legally permitted, a party required to make disclosure shall give the other party prompt prior notice and disclose only what is legally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