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 — ROUND 2 NEGOTIATION DRAFT — SUBJECT TO CONTRACT AND CLIENT APPROVAL</w:t>
      </w:r>
    </w:p>
    <w:p>
      <w:r>
        <w:t>1. Purchase Price. The proposed purchase price for the Shares is USD 40,000,000, subject to agreement on the valuation basis, treatment of cash, debt and debt-like items, a normalized working-capital target, customary completion adjustments and the related accounting policies and dispute-resolution mechanics. No item shall be counted more than once. This price is the Seller's negotiating counterproposal only, subject to Seller approval, satisfactory diligence and definitive documentation; it is not a binding offer or an acceptance of the Buyer's USD 36,000,000 proposal.</w:t>
      </w:r>
    </w:p>
    <w:p>
      <w:r>
        <w:t>2. Closing. Closing shall occur on the date agreed by the parties following satisfaction or, where legally permissible, waiver by the party entitled to their benefit of the conditions expressly set out in the definitive Agreement. The parties shall agree an outside date and corresponding termination rights before signing. The parties shall promptly identify any necessary corporate approvals, regulatory filings and material-contract change-of-control consents; none is confirmed as required by this draft. Any financing-related requirement must be identified promptly, and no financing condition is agreed. The parties shall work toward an expeditious closing; closing within 30 days of signing is an objective only, not a commitment.</w:t>
      </w:r>
    </w:p>
    <w:p>
      <w:r>
        <w:t>3. Financial Representations; Disclosure and Diligence. (a) Before signing, the parties shall complete an Accounts Schedule identifying the annual financial statements, including their notes, and interim financial statements covered by this clause, their respective dates and periods, and the applicable accounting framework [to be confirmed expressly as US GAAP, IFRS or the applicable local framework]. No framework or statement set is deemed confirmed by this draft. Subject only to matters fairly disclosed in the disclosure schedules with sufficient detail to identify their nature and scope and the representation qualified, the Seller represents that the identified statements fairly present, in all material respects, the Company's financial position and results of operations for the relevant dates and periods in accordance with that framework, consistently applied. Interim statements may omit footnotes only as expressly identified in the Accounts Schedule and are subject only to normal, recurring year-end adjustments that are not materially adverse, individually or in the aggregate.</w:t>
        <w:br/>
        <w:t>(b) Subject to the same specific-disclosure standard, the Seller represents that the Company has no liabilities required by the agreed accounting framework to be recognized or provided for in a balance sheet, other than liabilities reflected or provided for in the latest balance sheet identified in the Accounts Schedule and liabilities incurred thereafter in the ordinary course that are not material, individually or in the aggregate. Subject to the same standard, since that balance-sheet date there has been no material adverse change in the Company's financial position. Any agreed definition and exclusions for material adverse change shall be set out expressly in the definitive Agreement.</w:t>
        <w:br/>
        <w:t>(c) The definitive Agreement shall provide contractual recourse for breach of these representations, with survival periods, claim procedures, caps, baskets, mitigation and exclusions to be negotiated and expressly agreed before signing. No unlimited indemnity or exclusive-remedy regime is agreed by this draft.</w:t>
        <w:br/>
        <w:t>(d) The Seller shall provide draft disclosure schedules sufficiently before signing to permit meaningful Buyer review, together with historical financial statements, current management accounts, existing quality-of-earnings materials, cash and debt details, working-capital information, tax records, material contracts and information relevant to potential regulatory filings and change-of-control consents. The parties shall promptly agree the production timetable. Production remains subject to applicable law, privilege and appropriate confidentiality safeguards; where withholding is necessary, the Seller shall identify the category withheld and cooperate on lawful alternative access. This clause does not require preparation of a new quality-of-earnings report unless separately agreed. Final disclosure schedules must be agreed before execution.</w:t>
      </w:r>
    </w:p>
    <w:p>
      <w:r>
        <w:t>4. Confidentiality. Each party shall keep the terms of this Agreement and non-public information received in connection with the transaction confidential and use that information only to evaluate, negotiate or implement the transaction. These obligations do not apply to information that the receiving party can demonstrate is publicly available other than through a breach, was lawfully known without restriction before receipt, is lawfully received from a third party without a duty of confidentiality, or is independently developed without use of the confidential information. Disclosure to personnel, professional advisers and financing sources is permitted only on a need-to-know basis for the transaction and where those recipients are bound by confidentiality obligations or professional duties of confidentiality. Each party shall inform its recipients of the confidential nature of the information and be responsible for their breaches as if its own, except that a party is not responsible solely by reason of disclosure to an independent professional adviser bound by enforceable professional duties of confidentiality; this exception does not excuse that party's own breach or knowing assistance in a breach. Disclosure required by applicable law, regulation or court order is permitted only to the extent required. Where legally permitted, the disclosing party shall give advance notice, consult on the timing and content of disclosure and reasonably cooperate in seeking confidential treatment. Neither party shall make a public announcement concerning the transaction without the other's prior written consent, except where legally required, in which case the same advance consultation requirements apply.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Share Purchase Agreement — Round 2 negotiation draft; subject to contract and client approval</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DraftVersion">
    <vt:lpwstr xmlns:vt="http://schemas.openxmlformats.org/officeDocument/2006/docPropsVTypes">Round 2 — Seller counterproposal — subject to contract and client approval</vt:lpwstr>
  </property>
</Properties>
</file>