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purchase price for the Shares is USD 45,000,000, subject to customary adjustments for cash, indebtedness, unpaid transaction expenses and the difference between closing working capital and an agreed normalized working-capital target. The definitive agreement shall specify the relevant definitions, accounting principles, illustrative calculation, estimated closing statement, post-closing true-up and independent accountant dispute process. Adjustments shall avoid double counting. This proposal is subject to the Seller's approval and execution of definitive documentation.</w:t>
      </w:r>
    </w:p>
    <w:p>
      <w:r>
        <w:t>2. Closing; Conditions; Termination. The parties shall work toward Closing within 30 days after signing definitive documentation, subject to receipt of required regulatory and third-party approvals and satisfaction or waiver by the entitled party of the agreed closing conditions. Buyer shall complete satisfactory due diligence before signing; no separate discretionary post-signing diligence condition is proposed. Closing conditions shall include accuracy of the parties' representations, subject to agreed materiality standards, performance in all material respects of their respective covenants, delivery of agreed closing documents and absence of any legal prohibition on Closing. The definitive agreement shall provide termination rights for mutual written consent, a final nonappealable legal prohibition, failure to close by an agreed outside date, and a material breach causing a closing condition to fail that remains uncured after an agreed notice and cure period. A party whose breach caused the failure to close may not rely on that failure to terminate. Accrued liability for pre-termination breaches and specified surviving obligations shall be preserved.</w:t>
      </w:r>
    </w:p>
    <w:p>
      <w:r>
        <w:t>3. Representations; Interim Covenants; Indemnification. The definitive agreement shall contain customary Seller representations concerning title to the Shares, authority, capitalization, financial statements, undisclosed liabilities, taxes, material contracts, litigation and compliance with applicable law, subject to negotiated scope, materiality and knowledge qualifications and disclosure schedules. Buyer shall provide customary representations concerning authority, enforceability and availability of funds. Between signing and Closing, Seller shall procure that the business operates in the ordinary course, preserves its business relationships and assets in all material respects, and refrains from agreed extraordinary actions without Buyer's prior written consent, not to be unreasonably withheld, conditioned or delayed, subject to agreed exceptions. Buyer shall receive reasonable diligence access on notice, subject to confidentiality, privilege, applicable law and non-disruption protections. The definitive agreement shall provide customary indemnification for breaches of representations and covenants, with negotiated survival periods, claim procedures, baskets, caps, mitigation requirements, exclusions for duplicate recovery and an exclusive-remedy provision with agreed exceptions, including fraud. An escrow or holdback may secure Seller's indemnification obligations, with its amount, duration, release mechanics and relationship to liability limits to be agreed; no amount or duration is accepted by this draft.</w:t>
      </w:r>
    </w:p>
    <w:p>
      <w:r>
        <w:t>4. Confidentiality. The parties shall keep confidential the terms of the proposed transaction and nonpublic information disclosed in connection with it, subject to any existing confidentiality agreement. Customary exceptions shall apply to information that is publicly available other than through breach, already lawfully known without restriction, independently developed or lawfully obtained from a third party without a confidentiality duty. Disclosure may be made to representatives and financing sources with a need to know who are bound by appropriate confidentiality obligations, or as required by law, regulation or legal process, with advance notice where legally permitted and reasonable cooperation to seek protective treatment. Public announcements require prior written consent except where legally required. Confidentiality obligations shall survive termination for the period agreed in definitive documentation or the existing confidentiality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