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 subject to satisfaction or written waiver by the party entitled to their benefit of the closing conditions expressly set out in this Agreement, or on such other date as the Buyer and the Seller agree in writing.</w:t>
      </w:r>
    </w:p>
    <w:p>
      <w:r>
        <w:t>3. Representations. Except as disclosed in the disclosure schedule delivered by the Seller to the Buyer before signing, the Seller represents that the financial statements identified in that schedule fairly present, in all material respects, the financial position and results of operations of the Company for the periods covered, in accordance with the accounting principles identified in those statements, consistently applied. Unaudited statements are subject to normal year-end adjustments and the absence of footnotes.</w:t>
      </w:r>
    </w:p>
    <w:p>
      <w:r>
        <w:t>4. Confidentiality. Each party shall keep the terms of this Agreement confidential, except for disclosures required by applicable law or a competent regulatory authority, or disclosures to its professional advisers and financing sources who are bound by confidentiality obligations. To the extent legally permitted, a party required to disclose shall give the other party reasonable advance notice and disclose only what is required. Neither party shall make a public announcement concerning this Agreement without the other party’s prior written consent, except as required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