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Seller's proposed purchase price for the Shares is USD 45,000,000, on a cash-free, debt-free basis and assuming delivery of normalized working capital at a target to be agreed before signing. The price remains subject to agreement. The equity consideration payable shall equal the agreed base price, plus Closing Cash, minus Closing Debt, minus unpaid Company transaction expenses, and plus or minus the amount by which Closing Working Capital exceeds or falls below the agreed target. Before signing, the parties shall agree detailed definitions, illustrative calculations and an accounting schedule specifying the applicable accounting principles and their order of priority. Cash, debt, debt-like items, working capital and transaction expenses shall be allocated to mutually exclusive categories, and no item shall be counted more than once. Seller transaction expenses shall be borne by the Seller, and Buyer transaction expenses by the Buyer; any Company-paid Seller expenses shall be reflected only once in the equity consideration. Payments or distributions to the Seller or its affiliates between signing and Closing shall require the Buyer's prior written consent, except specifically agreed permitted payments; any recovery for unauthorized leakage shall exclude amounts already reflected in the price adjustments or otherwise recovered. The Seller shall deliver estimated completion accounts and the resulting estimated consideration at least five business days before Closing. The Buyer shall deliver proposed final completion accounts within 60 days after Closing, with reasonable access to supporting records and personnel for the Seller. The Seller shall have 30 days to object in reasonable detail; unchallenged items shall become final. The parties shall seek to resolve disputed items for 20 business days, after which unresolved accounting items shall be submitted to a mutually appointed independent accountant acting as expert, not arbitrator, whose determination shall be confined to the disputed items and the parties' respective positions and shall be final absent manifest error. Expert costs shall be allocated by relative success. Any resulting true-up shall be paid within five business days after final determination. The definitive agreement shall specify the expert appointment fallback, procedures and applicable interest rate before signing.</w:t>
      </w:r>
    </w:p>
    <w:p>
      <w:r>
        <w:t>2. Signing, Interim Conduct and Closing. Satisfactory diligence shall be completed before signing; there shall be no general post-signing diligence or discretionary Buyer-approval condition. Closing is targeted within 30 days after signing, subject to satisfaction or written waiver by the party entitled to their benefit of the applicable conditions, and shall occur within five business days after those conditions are satisfied or waived, other than conditions to be satisfied at Closing. Required regulatory approvals and material third-party consents shall be identified before signing; there shall be no applicable legal restraint prohibiting Closing. Conditions to the Buyer's obligation shall include the Seller's representations being accurate in all material respects at Closing, except date-specific representations tested as of their stated date and representations already qualified by materiality tested as qualified; material performance of Seller covenants; absence of a Material Adverse Effect as defined before signing with customary exclusions and disproportionate-effect qualifications; and delivery of duly executed share transfers, certificates if applicable, agreed lien releases and other specified closing documents. Conditions to the Seller's obligation shall include materially accurate Buyer authority representations, material performance of Buyer covenants and delivery of the consideration and agreed Buyer closing documents. Neither party may rely on failure of a condition caused by its own breach. Each party shall use reasonable best efforts to obtain the identified approvals and satisfy its conditions, subject to expressly agreed limits on regulatory remedies. The proposed outside date is 60 days after signing, subject to any written extension. Either party may terminate by written notice if Closing has not occurred by that date, unless its material breach caused the failure; termination shall preserve accrued breach claims and provisions expressly stated to survive. From signing until Closing, the Seller shall cause the Company to operate in the ordinary course, preserve its business and maintain its assets and material relationships. Except as expressly disclosed and agreed before signing, required by law or contemplated by this Agreement, the Company shall not make material distributions, incur material new debt, dispose of material assets, issue shares, materially amend material contracts or undertake other extraordinary transactions without the Buyer's prior written consent, not to be unreasonably withheld, conditioned or delayed. These covenants shall not give the Buyer operational control before Closing.</w:t>
      </w:r>
    </w:p>
    <w:p>
      <w:r>
        <w:t>3. Representations, Disclosures and Indemnification. Before signing, the parties shall expressly identify in an agreed financial-statements schedule the audited annual and any unaudited interim financial statements, their dates and periods, and the applicable accounting principles. No unidentified statements or unspecified accounting framework shall be incorporated by reference. Except for matters fairly disclosed in the agreed disclosure schedules with sufficient detail to identify their nature and scope, the Seller shall represent that the identified statements fairly present, in all material respects, the Company's financial position and results for the periods covered, in accordance with the expressly identified accounting principles, consistently applied. Unaudited statements may omit footnotes and be subject to normal year-end adjustments only to the extent such adjustments are not materially adverse, individually or collectively. Complete proposed disclosure schedules shall be delivered at least ten business days before signing, with material revisions delivered sufficiently before signing for meaningful review. General data-room disclosure shall not itself qualify representations; cross-disclosure shall apply only where its relevance is reasonably apparent from the disclosure's detail. Post-signing updates shall not cure a breach or qualify a closing condition absent the Buyer's express written agreement. The definitive agreement shall contain customary, appropriately scoped Seller representations concerning title to the Shares, capitalization, authority and enforceability, taxes, material contracts, litigation, compliance with law, undisclosed liabilities and ownership or use of material assets, subject to specifically negotiated materiality, knowledge and other qualifications. The Buyer shall give customary authority, enforceability and funding representations. Before signing, the parties shall agree indemnities for breaches of representations and covenants and identified specific risks, including any agreed pre-Closing tax indemnity, together with survival periods, baskets, caps, claim procedures, defense and settlement rights, mitigation, exclusion of duplicate recovery and appropriate treatment of insurance and tax recoveries. Any escrow or holdback shall be limited to an expressly agreed amount, duration and scope, with scheduled releases except for amounts reasonably reserved for properly notified unresolved claims. No indemnity, escrow amount, survival period or uncapped liability is agreed by this draft; these terms must be settled in definitive documentation.</w:t>
      </w:r>
    </w:p>
    <w:p>
      <w:r>
        <w:t>4. Confidentiality. Each party shall keep the terms of this Agreement confidential, except for disclosures required by applicable law or a competent regulatory authority, or disclosures on a need-to-know basis to its relevant personnel, affiliates, professional advisers and financing sources who are bound by confidentiality obligations. Each party shall be responsible for breaches of these obligations by its recipients. A party required to disclose shall, only where legally permitted and reasonably practicable, give the other party reasonable advance notice, reasonably cooperate in seeking confidential treatment or other protective measures, and disclose only what is required. Neither party shall make a public announcement concerning this Agreement without the other party's prior written consent, except as required by law, in which case the foregoing notice and cooperation requirements shall apply. Existing confidentiality arrangements governing diligence information remain in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