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 — SUBJECT TO CONTRACT</w:t>
        <w:br/>
        <w:t>Negotiation draft only. This draft is not an offer capable of acceptance and creates no binding obligation. The transaction remains subject to satisfactory diligence, required internal approvals of each party and execution of definitive documentation. Any existing confidentiality agreement remains unaffected.</w:t>
      </w:r>
    </w:p>
    <w:p>
      <w:r>
        <w:t>1. Purchase Price and Completion Accounts. The Seller proposes a price of USD 45,000,000 for the Shares on a cash-free, debt-free basis, assuming delivery of an agreed normalized level of working capital. The equity consideration shall equal that amount, plus agreed closing cash, less agreed closing indebtedness, and plus or minus the difference between closing working capital and the agreed working-capital target, without double counting. Definitions, treatment of transaction expenses and debt-like items, the target and illustrative calculations shall be agreed before signing. Completion accounts shall follow agreed specific accounting policies and, where those policies are silent, the accounting principles consistently applied in the agreed reference accounts. The Seller shall deliver a good-faith estimated closing statement at least five business days before closing. The Buyer shall deliver proposed completion accounts within 60 days after closing, with reasonable access to supporting records. The Seller shall have 30 days to object; disputed items shall be negotiated for 20 business days and unresolved accounting items referred to an independent accountant jointly appointed as expert, not arbitrator, acting within the parties' respective submitted positions. Expert costs shall be allocated by reference to relative success. Any resulting adjustment shall be paid within five business days after final determination. These procedures and time periods remain subject to agreement.</w:t>
      </w:r>
    </w:p>
    <w:p>
      <w:r>
        <w:t>2. Diligence, Interim Covenants, Closing and Termination. Before signing, the Buyer shall complete satisfactory legal, financial, tax and commercial diligence and obtain its internal transaction approval. The Seller shall provide reasonably requested financial information and proposed disclosure schedules through an agreed confidential diligence process, subject to privilege, applicable law, data protection and third-party confidentiality restrictions. The definitive agreement shall identify any specifically agreed outstanding diligence condition; there shall be no open-ended discretionary diligence condition after signing. Closing is targeted within 30 days after signing, subject to required regulatory and third-party approvals, performance of material pre-closing obligations, accuracy of warranties subject to agreed materiality standards, absence of a legal prohibition and the other expressly agreed closing conditions. Each party shall use agreed reasonable efforts to satisfy conditions within its control. From signing until closing, the Seller shall procure that the business operates in the ordinary course and shall not undertake material non-ordinary-course transactions, distributions, new indebtedness, disposals, share issuances or material changes to employment or material contracts without the Buyer's consent, not to be unreasonably withheld, conditioned or delayed, subject to agreed thresholds, disclosed commitments, applicable law and emergency exceptions. These covenants shall not give the Buyer control before closing. The definitive agreement shall permit termination by mutual written agreement, by either non-defaulting party for an uncured material breach preventing closing following an agreed cure period, upon a final non-appealable legal prohibition, or if closing has not occurred by an agreed long-stop date, except where the terminating party's breach caused that failure. Termination shall preserve accrued claims and expressly surviving provisions.</w:t>
      </w:r>
    </w:p>
    <w:p>
      <w:r>
        <w:t>3. Warranties, Disclosures and Indemnification. The definitive agreement shall include Seller warranties covering title to the Shares, authority, capitalization, financial statements, undisclosed liabilities, tax, material contracts, litigation, compliance with law, employment and intellectual property. Their scope shall be proportionate to the business and subject to agreed materiality and knowledge qualifiers and matters fairly disclosed in agreed disclosure schedules with sufficient detail to identify their nature and scope. The Buyer shall give customary authority and capacity warranties. The parties shall agree indemnification for warranty breaches, tax liabilities and specifically identified risks, together with claim procedures, mitigation, third-party claim control and protections against double recovery. The Seller proposes an 18-month survival period for general warranties, with fundamental and tax claims surviving for separately agreed periods appropriate to their subject matter and applicable limitation periods. General claims shall be subject to agreed de minimis thresholds, a deductible basket and an aggregate cap; fundamental warranties, tax, specific indemnities and fraud shall receive separately negotiated treatment, with no exclusion or limitation where prohibited by law. Any security shall be proportionate to the agreed exposure and may comprise a capped, time-limited escrow or other mutually agreed arrangement, with release mechanics preserving only amounts reasonably required for timely notified unresolved claims. No security amount or liability cap is agreed in this draft.</w:t>
        <w:br/>
        <w:br/>
        <w:t>4. Confidentiality. Subject to any existing confidentiality agreement, the parties shall keep the transaction terms and non-public information confidential, except for disclosures to their advisers, prospective financing sources and representatives who need to know and are bound by appropriate confidentiality obligations or professional duties, or disclosures required by law, regulation, court order or a competent authority. Where legally permitted, the disclosing party shall give reasonable advance notice of a compulsory disclosure and reasonably cooperate in seeking confidential treatment. No public announcement shall be made without the other party's consent, except as legally required. Customary exclusions shall apply to information lawfully public, already lawfully known, independently developed or lawfully received from an unrestricted third party.</w:t>
        <w:br/>
        <w:br/>
        <w:t>5. Governing Law and Disputes. The governing law and exclusive court jurisdiction shall be expressly agreed and inserted before signing, taking account of the target's jurisdiction and enforceability. Accounting disputes shall be subject to the expert procedure in clause 1; other disputes shall be subject to the agreed courts, without prejudice to applications for urgent interim relief. These matters remain open and no jurisdiction is selected by this draft.</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