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Seller proposes a purchase price of USD 45,000,000 for the Shares, subject to agreement on adjustments for cash, debt, working capital and transaction expenses. The parties shall agree the relevant definitions, accounting principles, working-capital target, completion statement procedures and dispute resolution mechanism, without double counting. The Buyer's proposed USD 35,000,000 purchase price has not been accepted. The transaction remains subject to satisfactory due diligence, agreement on definitive terms and execution of definitive transaction documents.</w:t>
      </w:r>
    </w:p>
    <w:p>
      <w:r>
        <w:t>2. Closing; Conditions; Termination. Closing shall occur on an agreed date following satisfaction or lawful waiver of the agreed closing conditions, including required regulatory and third-party approvals, accuracy of the parties' warranties subject to agreed materiality standards, material performance of pre-closing covenants and absence of any legal prohibition on closing. Definitive documents shall specify the conditions, the party entitled to waive each condition and a mutually agreed outside date. Termination rights shall include mutual written agreement, failure to close by the outside date (except where caused by the terminating party's breach), a final legal prohibition and an uncured material breach preventing satisfaction of a closing condition, subject to agreed notice and cure periods. Termination shall not affect accrued rights for prior breach or provisions expressly stated to survive.</w:t>
      </w:r>
    </w:p>
    <w:p>
      <w:r>
        <w:t>3. Warranties; Interim Covenants; Access; Indemnification. The definitive documents shall include customary Seller warranties concerning title to the Shares, authority, capitalization, accounts, liabilities, taxes, material contracts, litigation and compliance with applicable law, subject to agreed scope, materiality and knowledge qualifications and matters fairly disclosed in an agreed disclosure letter. The Buyer shall give customary warranties concerning authority and ability to complete. Between signing and closing, the Seller shall procure that the business operates in the ordinary course and shall observe agreed restrictions on material transactions, distributions, indebtedness and disposals, with customary exceptions and Buyer consent not to be unreasonably withheld, conditioned or delayed. The Seller shall provide reasonable diligence access on reasonable notice, subject to confidentiality, privilege, applicable law and avoidance of unreasonable business disruption. The definitive documents shall provide agreed indemnification remedies, including claim procedures, mitigation, no double recovery, survival periods, baskets, caps and other appropriate limitations. Any escrow or holdback, including its amount, duration, permitted claims and release mechanics, remains subject to express agreement.</w:t>
      </w:r>
    </w:p>
    <w:p>
      <w:r>
        <w:t>4. Confidentiality; Status of Draft. Each party shall keep confidential the transaction negotiations, proposed terms and non-public information received from the other party. Permitted disclosures shall include disclosures to representatives, professional advisers and actual or prospective financing sources who need to know and are subject to appropriate confidentiality obligations, and disclosures required by law, regulation or competent authority. For required disclosures, the disclosing party shall, to the extent legally permitted, give advance notice and reasonable cooperation in seeking protective treatment, and disclose only what is required. Customary exceptions shall apply to information lawfully in the public domain, already lawfully known, independently developed or lawfully received from a third party without restriction. Any existing confidentiality agreement remains in effect. This draft is for discussion only and is non-binding and subject to contract; no provision of this draft creates a binding obligation before execution of definitive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