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NONBINDING DISCUSSION DRAFT</w:t>
        <w:br/>
        <w:t>This draft records proposed terms for discussion only. Neither party is obliged to proceed unless and until definitive documentation has been agreed, approved and executed. No provision of this draft is intended to be legally binding, and any existing binding confidentiality agreement remains unaffected.</w:t>
      </w:r>
    </w:p>
    <w:p>
      <w:r>
        <w:t>1. Purchase Price. Subject to Seller and Buyer approval, satisfactory diligence and definitive documentation, the proposed purchase price for the Shares is USD 35,000,000 on a cash-free, debt-free basis, assuming delivery of normalized working capital. The definitive agreement shall specify the working-capital target, accounting principles, definitions of cash, debt and transaction expenses, and customary closing adjustments, without double counting. It shall provide for an estimated closing statement, a post-closing true-up, review and objection periods, and resolution of accounting disputes by an independent accountant.</w:t>
      </w:r>
    </w:p>
    <w:p>
      <w:r>
        <w:t>2. Closing and Conditions. The parties shall work toward an expedited closing, targeting 30 days after signing where practicable, but not as an unconditional deadline. Closing shall be subject to completion of an agreed diligence process satisfactory to the Buyer, required corporate and regulatory approvals and third-party consents, accuracy of the Seller’s representations subject to agreed materiality standards, material compliance with pre-closing covenants, absence of any legal restraint, and other mutually agreed customary conditions. The definitive agreement shall specify the scope and timing of diligence, satisfaction or waiver of conditions, an agreed outside date and closing procedures. Completion mechanics shall include payment of the adjusted price, delivery of duly executed share transfers and evidence of title, release of agreed security interests, debt repayment arrangements where applicable, and customary corporate records, certificates and resignations.</w:t>
      </w:r>
    </w:p>
    <w:p>
      <w:r>
        <w:t>3. Representations, Covenants and Remedies. The definitive agreement shall include customary Seller representations addressing title to the Shares, authority and enforceability, capitalization, financial statements, undisclosed liabilities, taxes, material contracts, litigation, legal compliance, employees and benefits, intellectual property, assets, and other matters appropriate to the business. These representations shall be subject to agreed disclosure schedules, materiality and knowledge qualifications and other negotiated limitations. The Buyer shall provide customary representations concerning authority, enforceability and capacity to fund completion. Pending closing, the Seller shall procure operation of the business in the ordinary course, preservation of the business and records, reasonable diligence access subject to confidentiality and privilege safeguards, and agreed restrictions on extraordinary actions, with consent requirements and exceptions to be negotiated. The definitive agreement shall provide for indemnification for agreed breaches and specified matters, supported by an escrow or holdback whose amount, duration and release mechanics remain to be agreed. Survival periods, baskets, caps, claims procedures, mitigation, exclusions of double recovery and treatment of fraud shall be expressly negotiated. Termination rights shall include mutual agreement, failure to close by the agreed outside date, an uncured material breach following an agreed cure period, and a final legal prohibition, with restrictions on termination by a party whose breach caused the relevant failure and preservation of accrued rights as agreed.</w:t>
      </w:r>
    </w:p>
    <w:p>
      <w:r>
        <w:t>4. Confidentiality. The definitive agreement shall require the parties to keep the transaction terms and nonpublic information confidential, subject to customary exceptions for information lawfully public or independently obtained without breach. Permitted disclosures shall include disclosures on a need-to-know basis to professional advisers and actual or prospective financing sources subject to applicable professional duties or appropriate confidentiality obligations, and disclosures required by law, regulation or competent authority. For compelled disclosures, the disclosing party shall, to the extent legally permitted, give prompt notice, cooperate reasonably in seeking protective treatment and disclose only what is legally required. Public announcements shall require prior agreement except where legally required. Pending definitive documentation, any existing binding confidentiality agreement shall continue to govern.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