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For discussion purposes only and subject to the Seller's express approval, the proposed aggregate purchase price for the Shares is USD 35,000,000, subject to satisfactory due diligence, agreement on cash and debt treatment and a normalized working-capital adjustment, and execution of definitive documentation. The parties shall agree the applicable accounting policies, working-capital target, completion statement procedures and an independent-accountant mechanism for resolving adjustment disputes, without double counting. Inclusion of this price in this draft does not constitute acceptance by the Seller.</w:t>
      </w:r>
    </w:p>
    <w:p>
      <w:r>
        <w:t>2. Closing. Closing shall take place on a mutually agreed date no later than 30 days after satisfaction or lawful waiver by the party entitled to the benefit of the last outstanding closing condition, other than conditions to be satisfied at Closing. Conditions shall include required governmental and third-party approvals, absence of any legal prohibition, and performance in all material respects of the parties' pre-Closing obligations. The Buyer's obligation to close shall also be conditional on the Seller's representations being accurate at Closing, subject to agreed materiality standards and representations expressly made as of an earlier date. Any required Buyer internal approval and due-diligence condition must be expressly defined, time-limited and agreed in the definitive documentation. The long-stop date, Closing deliveries and consequences of delayed approvals remain to be agreed.</w:t>
      </w:r>
    </w:p>
    <w:p>
      <w:r>
        <w:t>3. Representations and Warranties. The definitive agreement shall contain customary Seller representations concerning title to and the ability to transfer the Shares free of encumbrances; authority and enforceability; capitalization; preparation and fair presentation of accounts under agreed accounting standards; undisclosed liabilities; tax; material contracts; litigation; compliance with applicable laws; employment matters; and ownership or valid use of material intellectual property. Their scope shall be proportionate to the business and subject to agreed materiality and knowledge qualifications, specific exceptions and fair disclosure in an agreed disclosure letter. The Buyer shall give customary representations concerning its authority, enforceability and ability to fund the purchase price. Detailed wording, disclosure standards, survival periods and remedies remain subject to agreement.</w:t>
      </w:r>
    </w:p>
    <w:p>
      <w:r>
        <w:t>4. Confidentiality. Each party shall keep confidential the negotiations, proposed transaction terms and nonpublic information received from the other party. Disclosure is permitted to advisers and prospective financing sources who need to know and are bound by professional duties or confidentiality obligations, and to the extent required by law, regulation or competent authority. Where lawful and practicable, the disclosing party shall give advance notice of compelled disclosure and reasonably cooperate in seeking confidential treatment. Customary exceptions shall apply to information lawfully public, already lawfully known, independently developed or lawfully received from an unrestricted third party. Any existing confidentiality agreement remains effective pending definitive documentation.</w:t>
        <w:br/>
        <w:br/>
        <w:t>5. Interim Operating Covenants. Between signing and Closing, the Seller shall procure that the business operates in the ordinary course and uses commercially reasonable efforts to preserve material business relationships. Subject to agreed thresholds and exceptions, including disclosed matters, applicable law and emergencies, the business shall not make extraordinary distributions, issue securities, incur material indebtedness, dispose of material assets or enter into material transactions outside the ordinary course without the Buyer's prior written consent, not to be unreasonably withheld, conditioned or delayed. Information access shall be reasonable and subject to confidentiality, privilege, competition law and noninterference safeguards; the Buyer shall not control the business before Closing.</w:t>
        <w:br/>
        <w:br/>
        <w:t>6. Indemnification and Security. The definitive agreement shall provide agreed remedies for breaches of representations and covenants and appropriate protection for pre-Closing tax liabilities and specifically identified risks. Recovery shall be subject to negotiated survival periods, claim procedures, de minimis thresholds, baskets, caps, mitigation obligations and exclusions of double recovery. Appropriate treatment of fraud and fundamental warranties shall be expressly agreed, subject to applicable law. An agreed portion of the purchase price shall be placed in escrow or retained as a holdback to secure specified claims, with the amount, duration, release schedule, claims procedure and treatment of disputed amounts to be agreed. No amount or liability limit is agreed by this draft.</w:t>
        <w:br/>
        <w:br/>
        <w:t>7. Termination. The definitive agreement shall permit termination by mutual written agreement; by either party if Closing has not occurred by an agreed long-stop date, provided that party's breach has not caused the failure; for a final legal prohibition; and by the nonbreaching party for a material breach that prevents satisfaction of a closing condition and remains uncured after an agreed notice and cure period. Termination shall preserve accrued rights and provisions expressly stated to survive. Any due-diligence termination right must be expressly agreed and time-limited.</w:t>
        <w:br/>
        <w:br/>
        <w:t>8. Governing Law and Disputes. The parties shall agree and specify the governing law and an exclusive court jurisdiction or a complete arbitration mechanism in the definitive agreement. Any accounting adjustment dispute shall be referred to the independent accountant under clause 1 within its agreed remit. Rights to seek urgent interim relief shall be preserved as agreed.</w:t>
        <w:br/>
        <w:br/>
        <w:t>9. Status. This discussion draft is subject to contract and does not create an obligation to sell, purchase or continue negotiations. No transaction obligation arises until definitive documentation is executed. Existing binding confidentiality obligations are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