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DISCUSSION DRAFT; SUBJECT TO CONTRACT AND RESPECTIVE PARTY APPROVALS</w:t>
      </w:r>
    </w:p>
    <w:p>
      <w:r>
        <w:t>1. Purchase Price. The Seller proposes a purchase price of USD 45,000,000 for the Shares on a cash-free, debt-free basis, subject to customary closing adjustments for cash, indebtedness, unpaid transaction expenses, and normalized working capital relative to an agreed target. Definitions, accounting principles, the working capital target, completion accounts procedures, and an independent-accountant dispute mechanism shall be agreed in the definitive documentation, without double counting. The Buyer's USD 35,000,000 proposal has not been accepted. Any transaction remains subject to satisfactory diligence, definitive documentation, and the parties' respective approvals.</w:t>
      </w:r>
    </w:p>
    <w:p>
      <w:r>
        <w:t>2. Closing; Interim Covenants; Termination. Closing shall occur on an agreed date following satisfaction or, where legally permissible, waiver by the party entitled to the benefit of the applicable conditions, including required regulatory and third-party approvals, absence of a legal prohibition, and agreed conditions concerning the accuracy of representations and performance of covenants. Satisfactory diligence is a prerequisite to signing definitive documentation, not an open-ended post-signing closing condition. Between signing and closing, the Seller shall cause the business to operate in the ordinary course and comply with agreed restrictions on material extraordinary actions, subject to customary exceptions and Buyer consent not to be unreasonably withheld, conditioned, or delayed. Definitive documentation shall provide termination rights for mutual agreement, a final legal prohibition, material uncured breach, and failure to close by an agreed outside date, with appropriate cure periods and restrictions preventing a party whose breach caused the failure from relying on that failure.</w:t>
      </w:r>
    </w:p>
    <w:p>
      <w:r>
        <w:t>3. Representations; Disclosure; Indemnification. Definitive documentation shall include Seller representations addressing title to the Shares, authority, capitalization, financial statements, undisclosed liabilities, tax, material contracts, litigation, and compliance with applicable law, subject to agreed scope, materiality and knowledge qualifications, and appropriate disclosure schedules. The Buyer shall give customary representations concerning authority and ability to fund closing. The parties shall negotiate indemnification for breaches and specified liabilities, including agreed survival periods, thresholds, deductibles, caps, claim procedures, mitigation obligations, and protection against double recovery. Any escrow or holdback securing agreed Seller obligations shall have an expressly agreed amount, duration, claims process, and release mechanism. No unlimited indemnity or unspecified escrow or holdback is agreed by this draft.</w:t>
      </w:r>
    </w:p>
    <w:p>
      <w:r>
        <w:t>4. Confidentiality. Subject to any existing confidentiality agreement, each party shall keep confidential the negotiations, proposed terms, and nonpublic information received in connection with the transaction. Disclosure is permitted to its advisers, financing sources, and representatives who need to know the information and are subject to professional confidentiality duties or appropriate confidentiality obligations, and to the extent required by law, regulation, or legal process. For compelled disclosure, the disclosing party shall, where lawful and practicable, provide advance notice and reasonable cooperation in seeking protective treatment and disclose only the information legally required. Customary exceptions shall apply to information that is publicly available other than through breach, lawfully obtained without confidentiality restrictions, already lawfully known, or independently developed. No public announcement shall be made without the other party's prior consent except as legally required. This discussion draft creates no binding obligations and does not amend or supersede any existing confidentiality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