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3234B"/>
          <w:sz w:val="60"/>
        </w:rPr>
        <w:t>Vendor GRACE</w:t>
      </w:r>
    </w:p>
    <w:p>
      <w:r>
        <w:rPr>
          <w:color w:val="4B5A70"/>
          <w:sz w:val="30"/>
        </w:rPr>
        <w:t>Post-Installation Setup Guide — by Persona</w:t>
      </w:r>
    </w:p>
    <w:p>
      <w:r>
        <w:rPr>
          <w:color w:val="4B5A70"/>
          <w:sz w:val="19"/>
        </w:rPr>
        <w:t>Version 1.2  |  Package 1.2.0.3  |  Date: September 2026  |  Mirketa Inc. — Salesforce Practice  |  Confidential</w:t>
      </w:r>
    </w:p>
    <w:p/>
    <w:p>
      <w:r>
        <w:rPr>
          <w:b w:val="0"/>
          <w:i w:val="0"/>
          <w:sz w:val="22"/>
        </w:rPr>
        <w:t>This guide walks through every step required after installing the Vendor GRACE managed package, organized by who performs it: the Admin who runs the one-time install configuration, and the Procurement and Analyst personas who each need specific access confirmed before they can use the app. Steps here reflect real packaging constraints discovered and fixed during 2GP package creation — several of them exist BECAUSE Salesforce's packaging model does not allow certain access to be shipped inside the package itself.</w:t>
      </w:r>
    </w:p>
    <w:p>
      <w:r>
        <w:br w:type="page"/>
      </w:r>
    </w:p>
    <w:p>
      <w:pPr>
        <w:pStyle w:val="Heading1"/>
      </w:pPr>
      <w:r>
        <w:rPr>
          <w:color w:val="03234B"/>
        </w:rPr>
        <w:t>Contents</w:t>
      </w:r>
    </w:p>
    <w:p>
      <w:r>
        <w:rPr>
          <w:b/>
        </w:rPr>
        <w:t>1. Before you begin</w:t>
      </w:r>
    </w:p>
    <w:p>
      <w:r>
        <w:rPr>
          <w:b/>
        </w:rPr>
        <w:t>2. What changed in this version   (Admin)</w:t>
      </w:r>
      <w:r>
        <w:rPr>
          <w:i/>
          <w:color w:val="4B5A70"/>
        </w:rPr>
      </w:r>
    </w:p>
    <w:p>
      <w:r>
        <w:rPr>
          <w:b/>
        </w:rPr>
        <w:t>3. Section 1 — Admin / Installer setup   (Admin)   — includes step 1.4, which is required and easily missed</w:t>
      </w:r>
      <w:r>
        <w:rPr>
          <w:i/>
          <w:color w:val="4B5A70"/>
        </w:rPr>
      </w:r>
    </w:p>
    <w:p>
      <w:r>
        <w:rPr>
          <w:b/>
        </w:rPr>
        <w:t>4. Section 2 — Procurement persona setup   (Procurement)</w:t>
      </w:r>
      <w:r>
        <w:rPr>
          <w:i/>
          <w:color w:val="4B5A70"/>
        </w:rPr>
      </w:r>
    </w:p>
    <w:p>
      <w:r>
        <w:rPr>
          <w:b/>
        </w:rPr>
        <w:t>5. Section 3 — Analyst persona setup   (Analyst)</w:t>
      </w:r>
      <w:r>
        <w:rPr>
          <w:i/>
          <w:color w:val="4B5A70"/>
        </w:rPr>
      </w:r>
    </w:p>
    <w:p>
      <w:r>
        <w:rPr>
          <w:b/>
        </w:rPr>
        <w:t>6. Section 4 — Verification checklist   (Admin)</w:t>
      </w:r>
    </w:p>
    <w:p>
      <w:r>
        <w:t>7. Appendix — Why these manual steps exist</w:t>
      </w:r>
    </w:p>
    <w:p>
      <w:r>
        <w:br w:type="page"/>
      </w:r>
    </w:p>
    <w:p>
      <w:pPr>
        <w:pStyle w:val="Heading1"/>
      </w:pPr>
      <w:r>
        <w:rPr>
          <w:color w:val="03234B"/>
        </w:rPr>
        <w:t>Before You Begin</w:t>
      </w:r>
    </w:p>
    <w:p>
      <w:r>
        <w:rPr>
          <w:b w:val="0"/>
          <w:i w:val="0"/>
          <w:sz w:val="22"/>
        </w:rPr>
        <w:t>What you'll need before starting installation:</w:t>
      </w:r>
    </w:p>
    <w:p>
      <w:pPr>
        <w:pStyle w:val="ListBullet"/>
      </w:pPr>
      <w:r>
        <w:t>System Administrator access to the target Salesforce org</w:t>
      </w:r>
    </w:p>
    <w:p>
      <w:pPr>
        <w:pStyle w:val="ListBullet"/>
      </w:pPr>
      <w:r>
        <w:t>The Vendor GRACE package installation URL</w:t>
      </w:r>
    </w:p>
    <w:p>
      <w:pPr>
        <w:pStyle w:val="ListBullet"/>
      </w:pPr>
      <w:r>
        <w:t>Your own Azure-hosted (or otherwise self-hosted) compliance engine URL and its inbound bearer token — the package does NOT include a working engine connection; you point it at your own deployment</w:t>
      </w:r>
    </w:p>
    <w:p>
      <w:pPr>
        <w:pStyle w:val="ListBullet"/>
      </w:pPr>
      <w:r>
        <w:t>An OpenAI API key (or your own configured LLM provider's key) for the engine itself — this is an engine-side setting, not something granted inside Salesforce</w:t>
      </w:r>
    </w:p>
    <w:p>
      <w:pPr>
        <w:pStyle w:val="ListBullet"/>
      </w:pPr>
      <w:r>
        <w:t>A list of which users belong to which persona (Procurement / Analyst) before assigning permission sets</w:t>
      </w:r>
    </w:p>
    <w:p>
      <w:pPr>
        <w:ind w:left="360"/>
      </w:pPr>
      <w:r>
        <w:rPr>
          <w:b/>
          <w:color w:val="4B5A70"/>
        </w:rPr>
        <w:t xml:space="preserve">Estimated time:  </w:t>
      </w:r>
      <w:r>
        <w:rPr>
          <w:color w:val="4B5A70"/>
          <w:sz w:val="21"/>
        </w:rPr>
        <w:t>30–45 minutes for a first-time install with 2–3 test users across both personas.</w:t>
      </w:r>
    </w:p>
    <w:p>
      <w:pPr>
        <w:pStyle w:val="Heading1"/>
        <w:ind w:left="360"/>
      </w:pPr>
      <w:r>
        <w:t>What Changed in This Version</w:t>
      </w:r>
    </w:p>
    <w:p>
      <w:pPr>
        <w:ind w:left="360"/>
      </w:pPr>
      <w:r>
        <w:t>Package version 1.2.0.3 supersedes 1.1.0.1. This section lists what an administrator needs to know. None of it changes the setup steps below.</w:t>
      </w:r>
    </w:p>
    <w:p>
      <w:pPr>
        <w:pStyle w:val="Heading2"/>
        <w:ind w:left="360"/>
      </w:pPr>
      <w:r>
        <w:t>Engine endpoint and token: configure these in Setup, not by deployment</w:t>
      </w:r>
    </w:p>
    <w:p>
      <w:pPr>
        <w:ind w:left="360"/>
      </w:pPr>
      <w:r>
        <w:t>Steps 1.2 and 1.3 must be performed through the Salesforce Setup UI. Packaged Named Credentials and External Credentials can be edited there normally. They cannot be changed by a Metadata API or Tooling API deployment — those return “Cannot modify managed object”. If you automate org configuration, make these two steps manual.</w:t>
      </w:r>
    </w:p>
    <w:p>
      <w:pPr>
        <w:ind w:left="360"/>
      </w:pPr>
      <w:r>
        <w:t>Every packaged Named Credential ships with a placeholder URL of https://example.com. Replace the one on Local_Compliance_Service with your own engine endpoint in Setup, and set the matching bearer token on the related External Credential. This has been verified end to end: with both set, a live callout to a real engine returns results successfully.</w:t>
      </w:r>
    </w:p>
    <w:p>
      <w:pPr>
        <w:ind w:left="360"/>
      </w:pPr>
      <w:r>
        <w:t>Two credentials you should leave alone. The package also contains Azure Document Intelligence and Azure OpenAI Named Credentials, left over from an earlier design. No Apex uses them — Salesforce does not call Azure directly; the compliance engine does, from its own configuration. From 1.2.0.3 they ship with their callout status set to Disabled and a placeholder URL. Leave them exactly as they are; configuring them has no effect. They remain in the package because Salesforce does not permit removing components that a released version already shipped, and will be withdrawn in a later release.</w:t>
      </w:r>
    </w:p>
    <w:p>
      <w:pPr>
        <w:ind w:left="360"/>
      </w:pPr>
      <w:r>
        <w:t>Also in this line (from 1.1.0.1): sub-supplier invitations no longer set or email a temporary password. The portal user is still created and the invitation still carries the tokenised portal link, which has always been the primary access path. An invitee who wants a username-and-password login uses the standard Salesforce password-reset flow. Re-inviting an existing contact no longer resets the password they are already using.</w:t>
      </w:r>
    </w:p>
    <w:p>
      <w:pPr>
        <w:pStyle w:val="Heading2"/>
        <w:ind w:left="360"/>
      </w:pPr>
      <w:r>
        <w:t>Security scan status</w:t>
      </w:r>
    </w:p>
    <w:p>
      <w:pPr>
        <w:ind w:left="360"/>
      </w:pPr>
      <w:r>
        <w:t>The Checkmarx source scan reports no Critical findings. All five Critical categories — Stored XSS, Reflected XSS, SOQL/SOSL Injection, Lightning API Version and Disallowed Password APIs — return “No Issues Found”. The remaining findings are the documented enforcement model described in the Appendix.</w:t>
      </w:r>
    </w:p>
    <w:p>
      <w:pPr>
        <w:pStyle w:val="Heading2"/>
        <w:ind w:left="360"/>
      </w:pPr>
      <w:r>
        <w:t>Upgrade notes</w:t>
      </w:r>
    </w:p>
    <w:p>
      <w:pPr>
        <w:ind w:left="360"/>
      </w:pPr>
      <w:r>
        <w:t>Upgrading from 1.1.0.1 or 1.0.0.2 is an in-place package upgrade; no data migration is required. Your existing Named Credential and External Credential configuration carries forward. Existing portal users keep their current passwords.</w:t>
      </w:r>
    </w:p>
    <w:p>
      <w:pPr>
        <w:pStyle w:val="Heading2"/>
        <w:ind w:left="360"/>
      </w:pPr>
      <w:r>
        <w:rPr>
          <w:b w:val="0"/>
        </w:rPr>
        <w:t>If callouts fail after setup</w:t>
      </w:r>
    </w:p>
    <w:p>
      <w:pPr>
        <w:ind w:left="360"/>
      </w:pPr>
      <w:r>
        <w:rPr>
          <w:b w:val="0"/>
        </w:rPr>
        <w:t>“We couldn’t access the credential(s)…” — step 1.4 was not done, or the user is not assigned the Local_Compliance_Callout permission set. Both are required: the permission set must carry the principal grant, and the user must hold the permission set.</w:t>
      </w:r>
    </w:p>
    <w:p>
      <w:pPr>
        <w:ind w:left="360"/>
      </w:pPr>
      <w:r>
        <w:rPr>
          <w:b w:val="0"/>
        </w:rPr>
        <w:t>“HTTP 401: Invalid or missing token” — the Authorization value on the External Credential must be the word Bearer, one space, then the token (Bearer abc123…), not the token on its own. The engine compares the whole header.</w:t>
      </w:r>
    </w:p>
    <w:p>
      <w:pPr>
        <w:ind w:left="360"/>
      </w:pPr>
      <w:r>
        <w:rPr>
          <w:b w:val="0"/>
        </w:rPr>
        <w:t>“HTTP 500: Internal Server Error” — the callout reached the engine and the engine failed. This is an engine-side problem, not a Salesforce one; check the engine deployment and its database schema.</w:t>
      </w:r>
    </w:p>
    <w:p>
      <w:r>
        <w:br w:type="page"/>
      </w:r>
    </w:p>
    <w:p>
      <w:pPr>
        <w:pStyle w:val="Heading1"/>
      </w:pPr>
      <w:r>
        <w:rPr>
          <w:color w:val="03234B"/>
        </w:rPr>
        <w:t>Section 1 — Admin / Installer Setup</w:t>
      </w:r>
    </w:p>
    <w:p>
      <w:r>
        <w:rPr>
          <w:b w:val="0"/>
          <w:i w:val="0"/>
          <w:sz w:val="22"/>
        </w:rPr>
        <w:t>Performed once, by the Salesforce Administrator installing the package. Complete these steps in order — later steps depend on earlier ones. Step 1.4 is the one most often missed: without it every engine callout fails, and the error it produces does not say which step was skipped.</w:t>
      </w:r>
    </w:p>
    <w:p>
      <w:pPr>
        <w:pStyle w:val="Heading2"/>
      </w:pPr>
      <w:r>
        <w:rPr>
          <w:color w:val="03234B"/>
        </w:rPr>
        <w:t>1.1  Install the package</w:t>
      </w:r>
    </w:p>
    <w:p>
      <w:pPr>
        <w:pStyle w:val="ListNumber"/>
      </w:pPr>
      <w:r>
        <w:t>Open the package installation URL in the target org.</w:t>
      </w:r>
    </w:p>
    <w:p>
      <w:pPr>
        <w:pStyle w:val="ListNumber"/>
      </w:pPr>
      <w:r>
        <w:t>Choose “Install for All Users” (recommended) or “Install for Admins Only” if you want to control persona rollout manually before granting access.</w:t>
      </w:r>
    </w:p>
    <w:p>
      <w:pPr>
        <w:pStyle w:val="ListNumber"/>
      </w:pPr>
      <w:r>
        <w:t>Wait for install to complete — this can take several minutes for a package this size.</w:t>
      </w:r>
    </w:p>
    <w:p>
      <w:pPr>
        <w:pStyle w:val="Heading2"/>
      </w:pPr>
      <w:r>
        <w:rPr>
          <w:color w:val="03234B"/>
        </w:rPr>
        <w:t>1.2  Point the Named Credential at your own engine</w:t>
      </w:r>
    </w:p>
    <w:p>
      <w:r>
        <w:rPr>
          <w:b w:val="0"/>
          <w:i w:val="0"/>
          <w:sz w:val="22"/>
        </w:rPr>
        <w:t>The package ships the Local_Compliance_Service Named Credential with a placeholder URL of https://example.com. This is the only credential the application uses, and every org must point it at its own compliance engine deployment. Make this change in the Setup UI — a Metadata API deployment will be rejected.</w:t>
      </w:r>
    </w:p>
    <w:p>
      <w:pPr>
        <w:pStyle w:val="ListNumber"/>
      </w:pPr>
      <w:r>
        <w:t>Setup → Quick Find → “Named Credentials”.</w:t>
      </w:r>
    </w:p>
    <w:p>
      <w:pPr>
        <w:pStyle w:val="ListNumber"/>
      </w:pPr>
      <w:r>
        <w:t>Open Local_Compliance_Service.</w:t>
      </w:r>
    </w:p>
    <w:p>
      <w:pPr>
        <w:pStyle w:val="ListNumber"/>
      </w:pPr>
      <w:r>
        <w:t>Edit the URL parameter to your engine's real, reachable HTTPS endpoint (e.g. your Azure App Service URL, or a dev tunnel URL for local testing).</w:t>
      </w:r>
    </w:p>
    <w:p>
      <w:pPr>
        <w:pStyle w:val="ListNumber"/>
      </w:pPr>
      <w:r>
        <w:t>Save.</w:t>
      </w:r>
    </w:p>
    <w:p>
      <w:pPr>
        <w:ind w:left="360"/>
      </w:pPr>
      <w:r>
        <w:rPr>
          <w:b/>
          <w:color w:val="4B5A70"/>
        </w:rPr>
        <w:t xml:space="preserve">Why this is manual:  </w:t>
      </w:r>
      <w:r>
        <w:rPr>
          <w:color w:val="4B5A70"/>
          <w:sz w:val="21"/>
        </w:rPr>
        <w:t>engine URLs are deployment-specific — every customer runs their own instance, so this can never ship pre-filled.</w:t>
      </w:r>
    </w:p>
    <w:p>
      <w:pPr>
        <w:pStyle w:val="Heading2"/>
      </w:pPr>
      <w:r>
        <w:rPr>
          <w:color w:val="03234B"/>
        </w:rPr>
        <w:t>1.3  Set the inbound authentication token</w:t>
      </w:r>
    </w:p>
    <w:p>
      <w:r>
        <w:rPr>
          <w:b w:val="0"/>
          <w:i w:val="0"/>
          <w:sz w:val="22"/>
        </w:rPr>
        <w:t>The engine authenticates inbound Salesforce callouts with a shared bearer token. This token is NOT issued by Azure or by Salesforce — it is a secret chosen by whoever operates the engine. If you host the engine yourself, pick any long random string, set it as the INBOUND_TOKEN environment variable on your engine, and enter the same value here. If Mirketa hosts the engine for you, we generate the token and provide it. The two values must match exactly or every callout returns 401.</w:t>
      </w:r>
    </w:p>
    <w:p>
      <w:pPr>
        <w:pStyle w:val="ListNumber"/>
      </w:pPr>
      <w:r>
        <w:t>Setup → Quick Find → “Named Credentials” → External Credentials tab.</w:t>
      </w:r>
    </w:p>
    <w:p>
      <w:pPr>
        <w:pStyle w:val="ListNumber"/>
      </w:pPr>
      <w:r>
        <w:t>Open Local_Compliance_Auth.</w:t>
      </w:r>
    </w:p>
    <w:p>
      <w:pPr>
        <w:pStyle w:val="ListNumber"/>
      </w:pPr>
      <w:r>
        <w:t>Under Principals, edit the Admin principal.</w:t>
      </w:r>
    </w:p>
    <w:p>
      <w:pPr>
        <w:pStyle w:val="ListNumber"/>
      </w:pPr>
      <w:r>
        <w:t>Set the Authorization header value to “Bearer &lt;your engine's INBOUND_TOKEN&gt;” — this must match the INBOUND_TOKEN your engine deployment is configured with.</w:t>
      </w:r>
    </w:p>
    <w:p>
      <w:pPr>
        <w:pStyle w:val="ListNumber"/>
      </w:pPr>
      <w:r>
        <w:t>Save.</w:t>
      </w:r>
    </w:p>
    <w:p>
      <w:pPr>
        <w:pStyle w:val="Heading2"/>
      </w:pPr>
      <w:r>
        <w:rPr>
          <w:color w:val="03234B"/>
        </w:rPr>
        <w:t>1.4  Grant the External Credential Principal   —  REQUIRED, NOTHING WORKS WITHOUT IT</w:t>
      </w:r>
    </w:p>
    <w:p>
      <w:r>
        <w:rPr>
          <w:b/>
          <w:i w:val="0"/>
          <w:sz w:val="22"/>
        </w:rPr>
        <w:t>Do not skip this step. Salesforce does not permit a packaged Permission Set to grant External Credential Principal access, so the package cannot do it for you (see Appendix). Until an administrator performs it by hand, every callout to the compliance engine fails and no AI assessment, document scoping or screening will run.</w:t>
      </w:r>
    </w:p>
    <w:p>
      <w:pPr/>
      <w:r>
        <w:rPr>
          <w:b w:val="0"/>
        </w:rPr>
        <w:t>If you skipped it, the application reports: “We couldn’t access the credential(s). You might not have the required permissions, or the external credential ‘Local_Compliance_Auth’ might not exist.” That message does not name the missing grant — this step is the fix.</w:t>
      </w:r>
    </w:p>
    <w:p>
      <w:pPr/>
      <w:r>
        <w:rPr>
          <w:b w:val="0"/>
        </w:rPr>
        <w:t>Note: none of the five packaged permission sets carries this grant, and none will appear to be missing anything. The grant is invisible until you open the permission set and look at External Credential Principal Access.</w:t>
      </w:r>
    </w:p>
    <w:p>
      <w:pPr>
        <w:pStyle w:val="ListNumber"/>
      </w:pPr>
      <w:r>
        <w:t>Setup → Permission Sets → open Local_Compliance_Callout.</w:t>
      </w:r>
    </w:p>
    <w:p>
      <w:pPr>
        <w:pStyle w:val="ListNumber"/>
      </w:pPr>
      <w:r>
        <w:t>External Credential Principal Access → Edit.</w:t>
      </w:r>
    </w:p>
    <w:p>
      <w:pPr>
        <w:pStyle w:val="ListNumber"/>
      </w:pPr>
      <w:r>
        <w:t>Enable access to Local_Compliance_Auth-Admin.</w:t>
      </w:r>
    </w:p>
    <w:p>
      <w:pPr>
        <w:pStyle w:val="ListNumber"/>
      </w:pPr>
      <w:r>
        <w:t>Save.</w:t>
      </w:r>
    </w:p>
    <w:p>
      <w:pPr>
        <w:pStyle w:val="Heading2"/>
      </w:pPr>
      <w:r>
        <w:rPr>
          <w:color w:val="03234B"/>
        </w:rPr>
        <w:t>1.5  Grant Profile-level object access</w:t>
      </w:r>
    </w:p>
    <w:p>
      <w:r>
        <w:rPr>
          <w:b w:val="0"/>
          <w:i w:val="0"/>
          <w:sz w:val="22"/>
        </w:rPr>
        <w:t>Salesforce's packaging rules do not allow a packaged Permission Set to grant object permissions on a custom object that is the detail side of a Master-Detail relationship to a standard object — here, everything that hangs off Account. The Apex enforces CRUD/FLS for the running user (see Appendix), so these object grants are REQUIRED: without them the consoles refuse the user with “You do not have permission to perform this action.”</w:t>
      </w:r>
    </w:p>
    <w:tbl>
      <w:tblPr>
        <w:tblStyle w:val="LightGrid-Accent1"/>
        <w:tblW w:type="auto" w:w="0"/>
        <w:jc w:val="left"/>
        <w:tblLook w:firstColumn="1" w:firstRow="1" w:lastColumn="0" w:lastRow="0" w:noHBand="0" w:noVBand="1" w:val="04A0"/>
      </w:tblPr>
      <w:tblGrid>
        <w:gridCol w:w="2880"/>
        <w:gridCol w:w="2880"/>
        <w:gridCol w:w="2880"/>
      </w:tblGrid>
      <w:tr>
        <w:tc>
          <w:tcPr>
            <w:tcW w:type="dxa" w:w="3744"/>
            <w:shd w:val="clear" w:color="auto" w:fill="03234B"/>
          </w:tcPr>
          <w:p>
            <w:r/>
            <w:r>
              <w:rPr>
                <w:b/>
                <w:color w:val="FFFFFF"/>
                <w:sz w:val="20"/>
              </w:rPr>
              <w:t>Object</w:t>
            </w:r>
          </w:p>
        </w:tc>
        <w:tc>
          <w:tcPr>
            <w:tcW w:type="dxa" w:w="2880"/>
            <w:shd w:val="clear" w:color="auto" w:fill="03234B"/>
          </w:tcPr>
          <w:p>
            <w:r/>
            <w:r>
              <w:rPr>
                <w:b/>
                <w:color w:val="FFFFFF"/>
                <w:sz w:val="20"/>
              </w:rPr>
              <w:t>Access needed</w:t>
            </w:r>
          </w:p>
        </w:tc>
        <w:tc>
          <w:tcPr>
            <w:tcW w:type="dxa" w:w="2880"/>
            <w:shd w:val="clear" w:color="auto" w:fill="03234B"/>
          </w:tcPr>
          <w:p>
            <w:r/>
            <w:r>
              <w:rPr>
                <w:b/>
                <w:color w:val="FFFFFF"/>
                <w:sz w:val="20"/>
              </w:rPr>
              <w:t>Applies to</w:t>
            </w:r>
          </w:p>
        </w:tc>
      </w:tr>
      <w:tr>
        <w:tc>
          <w:tcPr>
            <w:tcW w:type="dxa" w:w="3744"/>
          </w:tcPr>
          <w:p>
            <w:r/>
            <w:r>
              <w:rPr>
                <w:sz w:val="20"/>
              </w:rPr>
              <w:t>Account</w:t>
            </w:r>
          </w:p>
        </w:tc>
        <w:tc>
          <w:tcPr>
            <w:tcW w:type="dxa" w:w="2880"/>
          </w:tcPr>
          <w:p>
            <w:r/>
            <w:r>
              <w:rPr>
                <w:sz w:val="20"/>
              </w:rPr>
              <w:t>Read, Create, Edit (Read, Edit is enough for Analysts)</w:t>
            </w:r>
          </w:p>
        </w:tc>
        <w:tc>
          <w:tcPr>
            <w:tcW w:type="dxa" w:w="2880"/>
          </w:tcPr>
          <w:p>
            <w:r/>
            <w:r>
              <w:rPr>
                <w:sz w:val="20"/>
              </w:rPr>
              <w:t>Procurement + Analyst profiles</w:t>
            </w:r>
          </w:p>
        </w:tc>
      </w:tr>
      <w:tr>
        <w:tc>
          <w:tcPr>
            <w:tcW w:type="dxa" w:w="3744"/>
          </w:tcPr>
          <w:p>
            <w:r/>
            <w:r>
              <w:rPr>
                <w:sz w:val="20"/>
              </w:rPr>
              <w:t>Compliance_Assessment__c</w:t>
            </w:r>
          </w:p>
        </w:tc>
        <w:tc>
          <w:tcPr>
            <w:tcW w:type="dxa" w:w="2880"/>
          </w:tcPr>
          <w:p>
            <w:r/>
            <w:r>
              <w:rPr>
                <w:sz w:val="20"/>
              </w:rPr>
              <w:t>Read, Create, Edit, Delete</w:t>
            </w:r>
          </w:p>
        </w:tc>
        <w:tc>
          <w:tcPr>
            <w:tcW w:type="dxa" w:w="2880"/>
          </w:tcPr>
          <w:p>
            <w:r/>
            <w:r>
              <w:rPr>
                <w:sz w:val="20"/>
              </w:rPr>
              <w:t>Procurement + Analyst profiles</w:t>
            </w:r>
          </w:p>
        </w:tc>
      </w:tr>
      <w:tr>
        <w:tc>
          <w:tcPr>
            <w:tcW w:type="dxa" w:w="3744"/>
          </w:tcPr>
          <w:p>
            <w:r/>
            <w:r>
              <w:rPr>
                <w:sz w:val="20"/>
              </w:rPr>
              <w:t>Compliance_Document__c</w:t>
            </w:r>
          </w:p>
        </w:tc>
        <w:tc>
          <w:tcPr>
            <w:tcW w:type="dxa" w:w="2880"/>
          </w:tcPr>
          <w:p>
            <w:r/>
            <w:r>
              <w:rPr>
                <w:sz w:val="20"/>
              </w:rPr>
              <w:t>Read, Create, Edit</w:t>
            </w:r>
          </w:p>
        </w:tc>
        <w:tc>
          <w:tcPr>
            <w:tcW w:type="dxa" w:w="2880"/>
          </w:tcPr>
          <w:p>
            <w:r/>
            <w:r>
              <w:rPr>
                <w:sz w:val="20"/>
              </w:rPr>
              <w:t>Procurement + Analyst profiles</w:t>
            </w:r>
          </w:p>
        </w:tc>
      </w:tr>
      <w:tr>
        <w:tc>
          <w:tcPr>
            <w:tcW w:type="dxa" w:w="3744"/>
          </w:tcPr>
          <w:p>
            <w:r/>
            <w:r>
              <w:rPr>
                <w:sz w:val="20"/>
              </w:rPr>
              <w:t>Compliance_Document_Link__c</w:t>
            </w:r>
          </w:p>
        </w:tc>
        <w:tc>
          <w:tcPr>
            <w:tcW w:type="dxa" w:w="2880"/>
          </w:tcPr>
          <w:p>
            <w:r/>
            <w:r>
              <w:rPr>
                <w:sz w:val="20"/>
              </w:rPr>
              <w:t>Read, Create, Edit</w:t>
            </w:r>
          </w:p>
        </w:tc>
        <w:tc>
          <w:tcPr>
            <w:tcW w:type="dxa" w:w="2880"/>
          </w:tcPr>
          <w:p>
            <w:r/>
            <w:r>
              <w:rPr>
                <w:sz w:val="20"/>
              </w:rPr>
              <w:t>Procurement + Analyst profiles</w:t>
            </w:r>
          </w:p>
        </w:tc>
      </w:tr>
      <w:tr>
        <w:tc>
          <w:tcPr>
            <w:tcW w:type="dxa" w:w="3744"/>
          </w:tcPr>
          <w:p>
            <w:r/>
            <w:r>
              <w:rPr>
                <w:sz w:val="20"/>
              </w:rPr>
              <w:t>Supplier_Profile__c</w:t>
            </w:r>
          </w:p>
        </w:tc>
        <w:tc>
          <w:tcPr>
            <w:tcW w:type="dxa" w:w="2880"/>
          </w:tcPr>
          <w:p>
            <w:r/>
            <w:r>
              <w:rPr>
                <w:sz w:val="20"/>
              </w:rPr>
              <w:t>Read, Create, Edit</w:t>
            </w:r>
          </w:p>
        </w:tc>
        <w:tc>
          <w:tcPr>
            <w:tcW w:type="dxa" w:w="2880"/>
          </w:tcPr>
          <w:p>
            <w:r/>
            <w:r>
              <w:rPr>
                <w:sz w:val="20"/>
              </w:rPr>
              <w:t>Procurement + Analyst profiles</w:t>
            </w:r>
          </w:p>
        </w:tc>
      </w:tr>
      <w:tr>
        <w:tc>
          <w:tcPr>
            <w:tcW w:type="dxa" w:w="3744"/>
          </w:tcPr>
          <w:p>
            <w:r/>
            <w:r>
              <w:rPr>
                <w:sz w:val="20"/>
              </w:rPr>
              <w:t>Document_Extraction__c</w:t>
            </w:r>
          </w:p>
        </w:tc>
        <w:tc>
          <w:tcPr>
            <w:tcW w:type="dxa" w:w="2880"/>
          </w:tcPr>
          <w:p>
            <w:r/>
            <w:r>
              <w:rPr>
                <w:sz w:val="20"/>
              </w:rPr>
              <w:t>Read</w:t>
            </w:r>
          </w:p>
        </w:tc>
        <w:tc>
          <w:tcPr>
            <w:tcW w:type="dxa" w:w="2880"/>
          </w:tcPr>
          <w:p>
            <w:r/>
            <w:r>
              <w:rPr>
                <w:sz w:val="20"/>
              </w:rPr>
              <w:t>Procurement + Analyst profiles</w:t>
            </w:r>
          </w:p>
        </w:tc>
      </w:tr>
    </w:tbl>
    <w:p/>
    <w:p>
      <w:pPr>
        <w:pStyle w:val="ListNumber"/>
      </w:pPr>
      <w:r>
        <w:t>Setup → Profiles → open each relevant profile (or clone Standard User into dedicated Procurement/Analyst profiles if you haven't already).</w:t>
      </w:r>
    </w:p>
    <w:p>
      <w:pPr>
        <w:pStyle w:val="ListNumber"/>
      </w:pPr>
      <w:r>
        <w:t>Object Settings → grant the access shown in the table above. Grant Account first: Salesforce rejects Read on a Master-Detail child unless the same profile already has Read on its parent (“Permission Read … depends on permission(s): Read Account”).</w:t>
      </w:r>
    </w:p>
    <w:p>
      <w:pPr>
        <w:pStyle w:val="ListNumber"/>
      </w:pPr>
      <w:r>
        <w:t>Nothing else is manual here: the packaged Permission Sets carry field-level access on every packaged custom field, read access to the packaged Custom Metadata Types (checklist requirements, material and domain catalogs), and the object access on Audit_Log__c (read) and Policy_Document__c that packaging does allow.</w:t>
      </w:r>
    </w:p>
    <w:p>
      <w:pPr>
        <w:pStyle w:val="Heading2"/>
      </w:pPr>
      <w:r>
        <w:rPr>
          <w:color w:val="03234B"/>
        </w:rPr>
        <w:t>1.6  Assign permission sets per user</w:t>
      </w:r>
    </w:p>
    <w:p>
      <w:r>
        <w:rPr>
          <w:b w:val="0"/>
          <w:i w:val="0"/>
          <w:sz w:val="22"/>
        </w:rPr>
        <w:t>See Sections 2 and 3 for exactly which permission sets go to which persona. As Admin, assign them via Setup → Permission Sets → [set name] → Manage Assignments → Add Assignment.</w:t>
      </w:r>
    </w:p>
    <w:p>
      <w:pPr>
        <w:pStyle w:val="Heading2"/>
      </w:pPr>
      <w:r>
        <w:rPr>
          <w:color w:val="03234B"/>
        </w:rPr>
        <w:t>1.7  Supplier Portal guest user (Supplier Portal only)</w:t>
      </w:r>
    </w:p>
    <w:p>
      <w:r>
        <w:rPr>
          <w:b w:val="0"/>
          <w:i w:val="0"/>
          <w:sz w:val="22"/>
        </w:rPr>
        <w:t>The public Supplier Portal deliberately gives the Experience Cloud guest user NO object permissions. The supplier's portal link carries a durable token that the Apex re-verifies on every call (the *ByToken methods), and those paths run in system context by design — so there is nothing to grant on the guest profile for uploads, comments, sub-supplier invites or document removal to work.</w:t>
      </w:r>
    </w:p>
    <w:p>
      <w:pPr>
        <w:pStyle w:val="ListNumber"/>
      </w:pPr>
      <w:r>
        <w:t>Setup → Digital Experiences → your Supplier Portal site → Administration → Pages → Go to Force.com → Public Access Settings → Enabled Apex Class Access: keep ONLY VendorPortalController, DocumentProcessingController and SubSupplierController enabled. Nothing on the portal calls any other class, and a small guest surface is what the security review expects.</w:t>
      </w:r>
    </w:p>
    <w:p>
      <w:pPr>
        <w:pStyle w:val="ListNumber"/>
      </w:pPr>
      <w:r>
        <w:t>Do NOT grant the guest profile Read/Edit on Account or on the compliance objects. A guest that calls a non-token method directly is refused by the CRUD guards — that is intended.</w:t>
      </w:r>
    </w:p>
    <w:p>
      <w:pPr>
        <w:ind w:left="360"/>
      </w:pPr>
      <w:r>
        <w:rPr>
          <w:b/>
          <w:color w:val="4B5A70"/>
        </w:rPr>
        <w:t xml:space="preserve">Logged-in community users:  </w:t>
      </w:r>
      <w:r>
        <w:rPr>
          <w:color w:val="4B5A70"/>
          <w:sz w:val="21"/>
        </w:rPr>
        <w:t>if you also let suppliers log in with an Experience Cloud licence instead of the token link, that profile needs the same object grants as Section 1.5. The token link is the supported path and needs nothing.</w:t>
      </w:r>
    </w:p>
    <w:p>
      <w:pPr>
        <w:pStyle w:val="Heading2"/>
      </w:pPr>
      <w:r>
        <w:rPr>
          <w:color w:val="03234B"/>
        </w:rPr>
        <w:t>1.8  Set the engine's LLM provider key</w:t>
      </w:r>
    </w:p>
    <w:p>
      <w:r>
        <w:rPr>
          <w:b w:val="0"/>
          <w:i w:val="0"/>
          <w:sz w:val="22"/>
        </w:rPr>
        <w:t>This is configured on your engine deployment directly (Azure App Service Application Settings, or your engine's .env), not inside Salesforce. Set OPENAI_API_KEY (or your chosen provider's key) there. No redeploy is required to change this — it takes effect on the engine's next restart.</w:t>
      </w:r>
    </w:p>
    <w:p>
      <w:r>
        <w:br w:type="page"/>
      </w:r>
    </w:p>
    <w:p>
      <w:pPr>
        <w:pStyle w:val="Heading1"/>
      </w:pPr>
      <w:r>
        <w:rPr>
          <w:color w:val="03234B"/>
        </w:rPr>
        <w:t>Section 2 — Procurement Persona Setup</w:t>
      </w:r>
    </w:p>
    <w:p>
      <w:r>
        <w:rPr>
          <w:b w:val="0"/>
          <w:i w:val="0"/>
          <w:sz w:val="22"/>
        </w:rPr>
        <w:t>Performed by the Admin, once per Procurement user (or once via profile default + permission set assignment for the whole team).</w:t>
      </w:r>
    </w:p>
    <w:p>
      <w:pPr>
        <w:pStyle w:val="Heading2"/>
      </w:pPr>
      <w:r>
        <w:rPr>
          <w:color w:val="03234B"/>
        </w:rPr>
        <w:t>2.1  Assign permission sets</w:t>
      </w:r>
    </w:p>
    <w:tbl>
      <w:tblPr>
        <w:tblStyle w:val="LightGrid-Accent1"/>
        <w:tblW w:type="auto" w:w="0"/>
        <w:jc w:val="left"/>
        <w:tblLook w:firstColumn="1" w:firstRow="1" w:lastColumn="0" w:lastRow="0" w:noHBand="0" w:noVBand="1" w:val="04A0"/>
      </w:tblPr>
      <w:tblGrid>
        <w:gridCol w:w="4320"/>
        <w:gridCol w:w="4320"/>
      </w:tblGrid>
      <w:tr>
        <w:tc>
          <w:tcPr>
            <w:tcW w:type="dxa" w:w="3456"/>
            <w:shd w:val="clear" w:color="auto" w:fill="03234B"/>
          </w:tcPr>
          <w:p>
            <w:r/>
            <w:r>
              <w:rPr>
                <w:b/>
                <w:color w:val="FFFFFF"/>
                <w:sz w:val="20"/>
              </w:rPr>
              <w:t>Permission Set</w:t>
            </w:r>
          </w:p>
        </w:tc>
        <w:tc>
          <w:tcPr>
            <w:tcW w:type="dxa" w:w="6048"/>
            <w:shd w:val="clear" w:color="auto" w:fill="03234B"/>
          </w:tcPr>
          <w:p>
            <w:r/>
            <w:r>
              <w:rPr>
                <w:b/>
                <w:color w:val="FFFFFF"/>
                <w:sz w:val="20"/>
              </w:rPr>
              <w:t>Grants</w:t>
            </w:r>
          </w:p>
        </w:tc>
      </w:tr>
      <w:tr>
        <w:tc>
          <w:tcPr>
            <w:tcW w:type="dxa" w:w="3456"/>
          </w:tcPr>
          <w:p>
            <w:r/>
            <w:r>
              <w:rPr>
                <w:sz w:val="20"/>
              </w:rPr>
              <w:t>Supplier_Compliance_Access</w:t>
            </w:r>
          </w:p>
        </w:tc>
        <w:tc>
          <w:tcPr>
            <w:tcW w:type="dxa" w:w="6048"/>
          </w:tcPr>
          <w:p>
            <w:r/>
            <w:r>
              <w:rPr>
                <w:sz w:val="20"/>
              </w:rPr>
              <w:t>Baseline app access — Compliance Console tab, Audit Log, Policy Documents, core object field access</w:t>
            </w:r>
          </w:p>
        </w:tc>
      </w:tr>
      <w:tr>
        <w:tc>
          <w:tcPr>
            <w:tcW w:type="dxa" w:w="3456"/>
          </w:tcPr>
          <w:p>
            <w:r/>
            <w:r>
              <w:rPr>
                <w:sz w:val="20"/>
              </w:rPr>
              <w:t>Procurement_Workspace_Access</w:t>
            </w:r>
          </w:p>
        </w:tc>
        <w:tc>
          <w:tcPr>
            <w:tcW w:type="dxa" w:w="6048"/>
          </w:tcPr>
          <w:p>
            <w:r/>
            <w:r>
              <w:rPr>
                <w:sz w:val="20"/>
              </w:rPr>
              <w:t>Procurement-specific tabs (Intelligence Dashboard, Policy Documents), 4 required Apex class grants, Compliance_Document_Link__c field access</w:t>
            </w:r>
          </w:p>
        </w:tc>
      </w:tr>
      <w:tr>
        <w:tc>
          <w:tcPr>
            <w:tcW w:type="dxa" w:w="3456"/>
          </w:tcPr>
          <w:p>
            <w:r/>
            <w:r>
              <w:rPr>
                <w:sz w:val="20"/>
              </w:rPr>
              <w:t>Full_Supplier_Visibility</w:t>
            </w:r>
          </w:p>
        </w:tc>
        <w:tc>
          <w:tcPr>
            <w:tcW w:type="dxa" w:w="6048"/>
          </w:tcPr>
          <w:p>
            <w:r/>
            <w:r>
              <w:rPr>
                <w:sz w:val="20"/>
              </w:rPr>
              <w:t>View/modify ALL Supplier Accounts regardless of ownership — Procurement only, do NOT assign to Analysts</w:t>
            </w:r>
          </w:p>
        </w:tc>
      </w:tr>
      <w:tr>
        <w:tc>
          <w:tcPr>
            <w:tcW w:type="dxa" w:w="3456"/>
          </w:tcPr>
          <w:p>
            <w:r/>
            <w:r>
              <w:rPr>
                <w:sz w:val="20"/>
              </w:rPr>
              <w:t>Local_Compliance_Callout</w:t>
            </w:r>
          </w:p>
        </w:tc>
        <w:tc>
          <w:tcPr>
            <w:tcW w:type="dxa" w:w="6048"/>
          </w:tcPr>
          <w:p>
            <w:r/>
            <w:r>
              <w:rPr>
                <w:sz w:val="20"/>
              </w:rPr>
              <w:t>Lets the user's Apex calls reach the compliance engine (after 1.4 above is done)</w:t>
            </w:r>
          </w:p>
        </w:tc>
      </w:tr>
    </w:tbl>
    <w:p/>
    <w:p>
      <w:pPr>
        <w:pStyle w:val="Heading2"/>
      </w:pPr>
      <w:r>
        <w:rPr>
          <w:color w:val="03234B"/>
        </w:rPr>
        <w:t>2.2  Confirm tab visibility</w:t>
      </w:r>
    </w:p>
    <w:p>
      <w:r>
        <w:rPr>
          <w:b w:val="0"/>
          <w:i w:val="0"/>
          <w:sz w:val="22"/>
        </w:rPr>
        <w:t>After assignment, the user should see these tabs inside the Vendor GRACE app: Compliance Console, Audit Log, Policy Documents, Intelligence Dashboard, Accounts.</w:t>
      </w:r>
    </w:p>
    <w:p>
      <w:pPr>
        <w:pStyle w:val="Heading2"/>
      </w:pPr>
      <w:r>
        <w:rPr>
          <w:color w:val="03234B"/>
        </w:rPr>
        <w:t>2.3  What Procurement can do</w:t>
      </w:r>
    </w:p>
    <w:p>
      <w:pPr>
        <w:pStyle w:val="ListBullet"/>
      </w:pPr>
      <w:r>
        <w:t>Generate and edit supplier onboarding checklists</w:t>
      </w:r>
    </w:p>
    <w:p>
      <w:pPr>
        <w:pStyle w:val="ListBullet"/>
      </w:pPr>
      <w:r>
        <w:t>Request documents from suppliers (triggers an email with a portal link)</w:t>
      </w:r>
    </w:p>
    <w:p>
      <w:pPr>
        <w:pStyle w:val="ListBullet"/>
      </w:pPr>
      <w:r>
        <w:t>Review uploaded documents, Approve / Reject / Defer each</w:t>
      </w:r>
    </w:p>
    <w:p>
      <w:pPr>
        <w:pStyle w:val="ListBullet"/>
      </w:pPr>
      <w:r>
        <w:t>Hand off to Analyst review (only for suppliers whose risk tier requires it)</w:t>
      </w:r>
    </w:p>
    <w:p>
      <w:pPr>
        <w:pStyle w:val="ListBullet"/>
      </w:pPr>
      <w:r>
        <w:t>Onboard a supplier directly if every document is Approved (no Analyst step needed)</w:t>
      </w:r>
    </w:p>
    <w:p>
      <w:pPr>
        <w:pStyle w:val="ListBullet"/>
      </w:pPr>
      <w:r>
        <w:t>Use the GRACE co-pilot for supplier Q&amp;A</w:t>
      </w:r>
    </w:p>
    <w:p>
      <w:r>
        <w:br w:type="page"/>
      </w:r>
    </w:p>
    <w:p>
      <w:pPr>
        <w:pStyle w:val="Heading1"/>
      </w:pPr>
      <w:r>
        <w:rPr>
          <w:color w:val="03234B"/>
        </w:rPr>
        <w:t>Section 3 — Analyst Persona Setup</w:t>
      </w:r>
    </w:p>
    <w:p>
      <w:r>
        <w:rPr>
          <w:b w:val="0"/>
          <w:i w:val="0"/>
          <w:sz w:val="22"/>
        </w:rPr>
        <w:t>Performed by the Admin, once per Analyst user.</w:t>
      </w:r>
    </w:p>
    <w:p>
      <w:pPr>
        <w:pStyle w:val="Heading2"/>
      </w:pPr>
      <w:r>
        <w:rPr>
          <w:color w:val="03234B"/>
        </w:rPr>
        <w:t>3.1  Assign permission sets</w:t>
      </w:r>
    </w:p>
    <w:tbl>
      <w:tblPr>
        <w:tblStyle w:val="LightGrid-Accent1"/>
        <w:tblW w:type="auto" w:w="0"/>
        <w:jc w:val="left"/>
        <w:tblLook w:firstColumn="1" w:firstRow="1" w:lastColumn="0" w:lastRow="0" w:noHBand="0" w:noVBand="1" w:val="04A0"/>
      </w:tblPr>
      <w:tblGrid>
        <w:gridCol w:w="4320"/>
        <w:gridCol w:w="4320"/>
      </w:tblGrid>
      <w:tr>
        <w:tc>
          <w:tcPr>
            <w:tcW w:type="dxa" w:w="3456"/>
            <w:shd w:val="clear" w:color="auto" w:fill="03234B"/>
          </w:tcPr>
          <w:p>
            <w:r/>
            <w:r>
              <w:rPr>
                <w:b/>
                <w:color w:val="FFFFFF"/>
                <w:sz w:val="20"/>
              </w:rPr>
              <w:t>Permission Set</w:t>
            </w:r>
          </w:p>
        </w:tc>
        <w:tc>
          <w:tcPr>
            <w:tcW w:type="dxa" w:w="6048"/>
            <w:shd w:val="clear" w:color="auto" w:fill="03234B"/>
          </w:tcPr>
          <w:p>
            <w:r/>
            <w:r>
              <w:rPr>
                <w:b/>
                <w:color w:val="FFFFFF"/>
                <w:sz w:val="20"/>
              </w:rPr>
              <w:t>Grants</w:t>
            </w:r>
          </w:p>
        </w:tc>
      </w:tr>
      <w:tr>
        <w:tc>
          <w:tcPr>
            <w:tcW w:type="dxa" w:w="3456"/>
          </w:tcPr>
          <w:p>
            <w:r/>
            <w:r>
              <w:rPr>
                <w:sz w:val="20"/>
              </w:rPr>
              <w:t>Supplier_Compliance_Access</w:t>
            </w:r>
          </w:p>
        </w:tc>
        <w:tc>
          <w:tcPr>
            <w:tcW w:type="dxa" w:w="6048"/>
          </w:tcPr>
          <w:p>
            <w:r/>
            <w:r>
              <w:rPr>
                <w:sz w:val="20"/>
              </w:rPr>
              <w:t>Baseline app access — same as Procurement</w:t>
            </w:r>
          </w:p>
        </w:tc>
      </w:tr>
      <w:tr>
        <w:tc>
          <w:tcPr>
            <w:tcW w:type="dxa" w:w="3456"/>
          </w:tcPr>
          <w:p>
            <w:r/>
            <w:r>
              <w:rPr>
                <w:sz w:val="20"/>
              </w:rPr>
              <w:t>Analyst_Workspace_Access</w:t>
            </w:r>
          </w:p>
        </w:tc>
        <w:tc>
          <w:tcPr>
            <w:tcW w:type="dxa" w:w="6048"/>
          </w:tcPr>
          <w:p>
            <w:r/>
            <w:r>
              <w:rPr>
                <w:sz w:val="20"/>
              </w:rPr>
              <w:t>Analyst Console tab, Intelligence Dashboard, Compliance_Document_Link__c field access</w:t>
            </w:r>
          </w:p>
        </w:tc>
      </w:tr>
      <w:tr>
        <w:tc>
          <w:tcPr>
            <w:tcW w:type="dxa" w:w="3456"/>
          </w:tcPr>
          <w:p>
            <w:r/>
            <w:r>
              <w:rPr>
                <w:sz w:val="20"/>
              </w:rPr>
              <w:t>Local_Compliance_Callout</w:t>
            </w:r>
          </w:p>
        </w:tc>
        <w:tc>
          <w:tcPr>
            <w:tcW w:type="dxa" w:w="6048"/>
          </w:tcPr>
          <w:p>
            <w:r/>
            <w:r>
              <w:rPr>
                <w:sz w:val="20"/>
              </w:rPr>
              <w:t>Lets the user's Apex calls reach the compliance engine (after 1.4 above is done)</w:t>
            </w:r>
          </w:p>
        </w:tc>
      </w:tr>
    </w:tbl>
    <w:p/>
    <w:p>
      <w:pPr>
        <w:ind w:left="360"/>
      </w:pPr>
      <w:r>
        <w:rPr>
          <w:b/>
          <w:color w:val="B45309"/>
        </w:rPr>
        <w:t xml:space="preserve">Do NOT assign:  </w:t>
      </w:r>
      <w:r>
        <w:rPr>
          <w:color w:val="4B5A70"/>
          <w:sz w:val="21"/>
        </w:rPr>
        <w:t>Full_Supplier_Visibility — Analysts should see only suppliers assigned to them, not every supplier in the org.</w:t>
      </w:r>
    </w:p>
    <w:p>
      <w:pPr>
        <w:pStyle w:val="Heading2"/>
      </w:pPr>
      <w:r>
        <w:rPr>
          <w:color w:val="03234B"/>
        </w:rPr>
        <w:t>3.2  Confirm tab visibility</w:t>
      </w:r>
    </w:p>
    <w:p>
      <w:r>
        <w:rPr>
          <w:b w:val="0"/>
          <w:i w:val="0"/>
          <w:sz w:val="22"/>
        </w:rPr>
        <w:t>After assignment, the user should see these tabs: Compliance Console, Audit Log, Intelligence Dashboard, Accounts.</w:t>
      </w:r>
    </w:p>
    <w:p>
      <w:pPr>
        <w:pStyle w:val="Heading2"/>
      </w:pPr>
      <w:r>
        <w:rPr>
          <w:color w:val="03234B"/>
        </w:rPr>
        <w:t>3.3  What Analysts can do</w:t>
      </w:r>
    </w:p>
    <w:p>
      <w:pPr>
        <w:pStyle w:val="ListBullet"/>
      </w:pPr>
      <w:r>
        <w:t>Review cases handed off by Procurement (high/critical risk-tier suppliers only)</w:t>
      </w:r>
    </w:p>
    <w:p>
      <w:pPr>
        <w:pStyle w:val="ListBullet"/>
      </w:pPr>
      <w:r>
        <w:t>Confirm or override each document's AI verdict (Compliant / Non-Compliant)</w:t>
      </w:r>
    </w:p>
    <w:p>
      <w:pPr>
        <w:pStyle w:val="ListBullet"/>
      </w:pPr>
      <w:r>
        <w:t>Confirm the supplier's overall risk tier</w:t>
      </w:r>
    </w:p>
    <w:p>
      <w:pPr>
        <w:pStyle w:val="ListBullet"/>
      </w:pPr>
      <w:r>
        <w:t>Send a case back to Procurement, or close it (onboard the supplier)</w:t>
      </w:r>
    </w:p>
    <w:p>
      <w:pPr>
        <w:pStyle w:val="ListBullet"/>
      </w:pPr>
      <w:r>
        <w:t>Use the GRACE co-pilot for supplier Q&amp;A</w:t>
      </w:r>
    </w:p>
    <w:p>
      <w:r>
        <w:br w:type="page"/>
      </w:r>
    </w:p>
    <w:p>
      <w:pPr>
        <w:pStyle w:val="Heading1"/>
      </w:pPr>
      <w:r>
        <w:rPr>
          <w:color w:val="03234B"/>
        </w:rPr>
        <w:t>Section 4 — Verification Checklist</w:t>
      </w:r>
    </w:p>
    <w:p>
      <w:r>
        <w:rPr>
          <w:b w:val="0"/>
          <w:i w:val="0"/>
          <w:sz w:val="22"/>
        </w:rPr>
        <w:t>Run through this checklist after completing Sections 1–3, using one test user per persona, before rolling out broadly.</w:t>
      </w:r>
    </w:p>
    <w:tbl>
      <w:tblPr>
        <w:tblStyle w:val="LightGrid-Accent1"/>
        <w:tblW w:type="auto" w:w="0"/>
        <w:jc w:val="left"/>
        <w:tblLook w:firstColumn="1" w:firstRow="1" w:lastColumn="0" w:lastRow="0" w:noHBand="0" w:noVBand="1" w:val="04A0"/>
      </w:tblPr>
      <w:tblGrid>
        <w:gridCol w:w="2880"/>
        <w:gridCol w:w="2880"/>
        <w:gridCol w:w="2880"/>
      </w:tblGrid>
      <w:tr>
        <w:tc>
          <w:tcPr>
            <w:tcW w:type="dxa" w:w="576"/>
            <w:shd w:val="clear" w:color="auto" w:fill="03234B"/>
          </w:tcPr>
          <w:p>
            <w:r/>
            <w:r>
              <w:rPr>
                <w:b/>
                <w:color w:val="FFFFFF"/>
                <w:sz w:val="20"/>
              </w:rPr>
              <w:t>#</w:t>
            </w:r>
          </w:p>
        </w:tc>
        <w:tc>
          <w:tcPr>
            <w:tcW w:type="dxa" w:w="4320"/>
            <w:shd w:val="clear" w:color="auto" w:fill="03234B"/>
          </w:tcPr>
          <w:p>
            <w:r/>
            <w:r>
              <w:rPr>
                <w:b/>
                <w:color w:val="FFFFFF"/>
                <w:sz w:val="20"/>
              </w:rPr>
              <w:t>Check</w:t>
            </w:r>
          </w:p>
        </w:tc>
        <w:tc>
          <w:tcPr>
            <w:tcW w:type="dxa" w:w="4608"/>
            <w:shd w:val="clear" w:color="auto" w:fill="03234B"/>
          </w:tcPr>
          <w:p>
            <w:r/>
            <w:r>
              <w:rPr>
                <w:b/>
                <w:color w:val="FFFFFF"/>
                <w:sz w:val="20"/>
              </w:rPr>
              <w:t>Expected result</w:t>
            </w:r>
          </w:p>
        </w:tc>
      </w:tr>
      <w:tr>
        <w:tc>
          <w:tcPr>
            <w:tcW w:type="dxa" w:w="576"/>
          </w:tcPr>
          <w:p>
            <w:r/>
            <w:r>
              <w:rPr>
                <w:sz w:val="20"/>
              </w:rPr>
              <w:t>1</w:t>
            </w:r>
          </w:p>
        </w:tc>
        <w:tc>
          <w:tcPr>
            <w:tcW w:type="dxa" w:w="4320"/>
          </w:tcPr>
          <w:p>
            <w:r/>
            <w:r>
              <w:rPr>
                <w:sz w:val="20"/>
              </w:rPr>
              <w:t>Admin: open Vendor GRACE app</w:t>
            </w:r>
          </w:p>
        </w:tc>
        <w:tc>
          <w:tcPr>
            <w:tcW w:type="dxa" w:w="4608"/>
          </w:tcPr>
          <w:p>
            <w:r/>
            <w:r>
              <w:rPr>
                <w:sz w:val="20"/>
              </w:rPr>
              <w:t>App loads, all tabs visible per Section 1.6</w:t>
            </w:r>
          </w:p>
        </w:tc>
      </w:tr>
      <w:tr>
        <w:tc>
          <w:tcPr>
            <w:tcW w:type="dxa" w:w="576"/>
          </w:tcPr>
          <w:p>
            <w:r/>
            <w:r>
              <w:rPr>
                <w:sz w:val="20"/>
              </w:rPr>
              <w:t>2</w:t>
            </w:r>
          </w:p>
        </w:tc>
        <w:tc>
          <w:tcPr>
            <w:tcW w:type="dxa" w:w="4320"/>
          </w:tcPr>
          <w:p>
            <w:r/>
            <w:r>
              <w:rPr>
                <w:sz w:val="20"/>
              </w:rPr>
              <w:t>Admin: create a test Account and generate a checklist</w:t>
            </w:r>
          </w:p>
        </w:tc>
        <w:tc>
          <w:tcPr>
            <w:tcW w:type="dxa" w:w="4608"/>
          </w:tcPr>
          <w:p>
            <w:r/>
            <w:r>
              <w:rPr>
                <w:sz w:val="20"/>
              </w:rPr>
              <w:t>Checklist generates without error (confirms Named Credential + engine connectivity)</w:t>
            </w:r>
          </w:p>
        </w:tc>
      </w:tr>
      <w:tr>
        <w:tc>
          <w:tcPr>
            <w:tcW w:type="dxa" w:w="576"/>
          </w:tcPr>
          <w:p>
            <w:r/>
            <w:r>
              <w:rPr>
                <w:sz w:val="20"/>
              </w:rPr>
              <w:t>3</w:t>
            </w:r>
          </w:p>
        </w:tc>
        <w:tc>
          <w:tcPr>
            <w:tcW w:type="dxa" w:w="4320"/>
          </w:tcPr>
          <w:p>
            <w:r/>
            <w:r>
              <w:rPr>
                <w:sz w:val="20"/>
              </w:rPr>
              <w:t>Procurement test user: log in</w:t>
            </w:r>
          </w:p>
        </w:tc>
        <w:tc>
          <w:tcPr>
            <w:tcW w:type="dxa" w:w="4608"/>
          </w:tcPr>
          <w:p>
            <w:r/>
            <w:r>
              <w:rPr>
                <w:sz w:val="20"/>
              </w:rPr>
              <w:t>Sees Compliance Console, Policy Documents, Intelligence Dashboard tabs</w:t>
            </w:r>
          </w:p>
        </w:tc>
      </w:tr>
      <w:tr>
        <w:tc>
          <w:tcPr>
            <w:tcW w:type="dxa" w:w="576"/>
          </w:tcPr>
          <w:p>
            <w:r/>
            <w:r>
              <w:rPr>
                <w:sz w:val="20"/>
              </w:rPr>
              <w:t>4</w:t>
            </w:r>
          </w:p>
        </w:tc>
        <w:tc>
          <w:tcPr>
            <w:tcW w:type="dxa" w:w="4320"/>
          </w:tcPr>
          <w:p>
            <w:r/>
            <w:r>
              <w:rPr>
                <w:sz w:val="20"/>
              </w:rPr>
              <w:t>Procurement test user: open a supplier, approve a test document</w:t>
            </w:r>
          </w:p>
        </w:tc>
        <w:tc>
          <w:tcPr>
            <w:tcW w:type="dxa" w:w="4608"/>
          </w:tcPr>
          <w:p>
            <w:r/>
            <w:r>
              <w:rPr>
                <w:sz w:val="20"/>
              </w:rPr>
              <w:t>Decision saves, compliance score updates</w:t>
            </w:r>
          </w:p>
        </w:tc>
      </w:tr>
      <w:tr>
        <w:tc>
          <w:tcPr>
            <w:tcW w:type="dxa" w:w="576"/>
          </w:tcPr>
          <w:p>
            <w:r/>
            <w:r>
              <w:rPr>
                <w:sz w:val="20"/>
              </w:rPr>
              <w:t>5</w:t>
            </w:r>
          </w:p>
        </w:tc>
        <w:tc>
          <w:tcPr>
            <w:tcW w:type="dxa" w:w="4320"/>
          </w:tcPr>
          <w:p>
            <w:r/>
            <w:r>
              <w:rPr>
                <w:sz w:val="20"/>
              </w:rPr>
              <w:t>Analyst test user: log in</w:t>
            </w:r>
          </w:p>
        </w:tc>
        <w:tc>
          <w:tcPr>
            <w:tcW w:type="dxa" w:w="4608"/>
          </w:tcPr>
          <w:p>
            <w:r/>
            <w:r>
              <w:rPr>
                <w:sz w:val="20"/>
              </w:rPr>
              <w:t>Sees Compliance Console (Analyst view), Intelligence Dashboard — NOT Policy Documents</w:t>
            </w:r>
          </w:p>
        </w:tc>
      </w:tr>
      <w:tr>
        <w:tc>
          <w:tcPr>
            <w:tcW w:type="dxa" w:w="576"/>
          </w:tcPr>
          <w:p>
            <w:r/>
            <w:r>
              <w:rPr>
                <w:sz w:val="20"/>
              </w:rPr>
              <w:t>6</w:t>
            </w:r>
          </w:p>
        </w:tc>
        <w:tc>
          <w:tcPr>
            <w:tcW w:type="dxa" w:w="4320"/>
          </w:tcPr>
          <w:p>
            <w:r/>
            <w:r>
              <w:rPr>
                <w:sz w:val="20"/>
              </w:rPr>
              <w:t>Analyst test user: open a handed-off case</w:t>
            </w:r>
          </w:p>
        </w:tc>
        <w:tc>
          <w:tcPr>
            <w:tcW w:type="dxa" w:w="4608"/>
          </w:tcPr>
          <w:p>
            <w:r/>
            <w:r>
              <w:rPr>
                <w:sz w:val="20"/>
              </w:rPr>
              <w:t>Case loads with documents, GRACE co-pilot responds to a question</w:t>
            </w:r>
          </w:p>
        </w:tc>
      </w:tr>
      <w:tr>
        <w:tc>
          <w:tcPr>
            <w:tcW w:type="dxa" w:w="576"/>
          </w:tcPr>
          <w:p>
            <w:r/>
            <w:r>
              <w:rPr>
                <w:sz w:val="20"/>
              </w:rPr>
              <w:t>7</w:t>
            </w:r>
          </w:p>
        </w:tc>
        <w:tc>
          <w:tcPr>
            <w:tcW w:type="dxa" w:w="4320"/>
          </w:tcPr>
          <w:p>
            <w:r/>
            <w:r>
              <w:rPr>
                <w:sz w:val="20"/>
              </w:rPr>
              <w:t>(If using Supplier Portal) open a supplier's portal link as a guest: upload, comment on and remove a document</w:t>
            </w:r>
          </w:p>
        </w:tc>
        <w:tc>
          <w:tcPr>
            <w:tcW w:type="dxa" w:w="4608"/>
          </w:tcPr>
          <w:p>
            <w:r/>
            <w:r>
              <w:rPr>
                <w:sz w:val="20"/>
              </w:rPr>
              <w:t>All succeed with no guest object permissions — the token path is system-context by design</w:t>
            </w:r>
          </w:p>
        </w:tc>
      </w:tr>
      <w:tr>
        <w:tc>
          <w:tcPr>
            <w:tcW w:type="dxa" w:w="576"/>
          </w:tcPr>
          <w:p>
            <w:r/>
            <w:r>
              <w:rPr>
                <w:sz w:val="20"/>
              </w:rPr>
              <w:t>8</w:t>
            </w:r>
          </w:p>
        </w:tc>
        <w:tc>
          <w:tcPr>
            <w:tcW w:type="dxa" w:w="4320"/>
          </w:tcPr>
          <w:p>
            <w:r/>
            <w:r>
              <w:rPr>
                <w:sz w:val="20"/>
              </w:rPr>
              <w:t>Setup → Apex Test Execution → run CrudEnforcementTest</w:t>
            </w:r>
          </w:p>
        </w:tc>
        <w:tc>
          <w:tcPr>
            <w:tcW w:type="dxa" w:w="4608"/>
          </w:tcPr>
          <w:p>
            <w:r/>
            <w:r>
              <w:rPr>
                <w:sz w:val="20"/>
              </w:rPr>
              <w:t>4/4 pass: a user holding only the grants above can use every console, a user without them is refused, the guest token path still works, and the audit trail is written regardless of the actor's permissions</w:t>
            </w:r>
          </w:p>
        </w:tc>
      </w:tr>
    </w:tbl>
    <w:p/>
    <w:p>
      <w:r>
        <w:br w:type="page"/>
      </w:r>
    </w:p>
    <w:p>
      <w:pPr>
        <w:pStyle w:val="Heading1"/>
      </w:pPr>
      <w:r>
        <w:rPr>
          <w:color w:val="03234B"/>
        </w:rPr>
        <w:t>Appendix — Why These Manual Steps Exist</w:t>
      </w:r>
    </w:p>
    <w:p>
      <w:r>
        <w:rPr>
          <w:b w:val="0"/>
          <w:i w:val="0"/>
          <w:sz w:val="22"/>
        </w:rPr>
        <w:t>Two of the steps above (1.4 and 1.5) are not oversights — they exist because of hard Salesforce 2GP packaging constraints discovered and root-caused during package creation. Documenting the “why” here so this doesn't get miscategorized as a bug in a future review.</w:t>
      </w:r>
    </w:p>
    <w:p>
      <w:pPr>
        <w:pStyle w:val="Heading3"/>
      </w:pPr>
      <w:r>
        <w:rPr>
          <w:color w:val="182335"/>
        </w:rPr>
        <w:t>External Credential Principal access (Step 1.4)</w:t>
      </w:r>
    </w:p>
    <w:p>
      <w:r>
        <w:rPr>
          <w:b w:val="0"/>
          <w:i w:val="0"/>
          <w:sz w:val="22"/>
        </w:rPr>
        <w:t>A 2GP package version's single-pass validation cannot resolve a Permission Set's reference to an External Credential Principal, even when the External Credential itself deploys successfully in the same transaction. This is a confirmed, unresolved Salesforce platform limitation (forcedotcom/cli GitHub issue #1781, labeled “investigating” / “owned by another team” as of this writing). It works fine as an ordinary incremental deploy — only package-version creation's from-scratch validation hits it.</w:t>
      </w:r>
    </w:p>
    <w:p>
      <w:pPr>
        <w:pStyle w:val="Heading3"/>
      </w:pPr>
      <w:r>
        <w:rPr>
          <w:color w:val="182335"/>
        </w:rPr>
        <w:t>Profile-level object access for the Master-Detail objects (Step 1.5)</w:t>
      </w:r>
    </w:p>
    <w:p>
      <w:r>
        <w:rPr>
          <w:b w:val="0"/>
          <w:i w:val="0"/>
          <w:sz w:val="22"/>
        </w:rPr>
        <w:t>Compliance_Assessment__c, Compliance_Document__c and Supplier_Profile__c are Master-Detail children of the standard Account object (Compliance_Document_Link__c and Document_Extraction__c hang off those). Salesforce categorically disallows any packaged Permission Set from granting object permissions on a custom object with a Master-Detail relationship to a standard object — confirmed via a real package version creation error (“references Compliance Assessment that has M-D relationship with Account”) and corroborated by Salesforce's own IdeaExchange and ISV community reports. Field-level grants on those objects DO package (and are shipped); the object-level grant must come from the subscriber org's own Profile.</w:t>
      </w:r>
    </w:p>
    <w:p>
      <w:pPr>
        <w:pStyle w:val="Heading3"/>
      </w:pPr>
      <w:r>
        <w:rPr>
          <w:color w:val="182335"/>
        </w:rPr>
        <w:t>CRUD/FLS enforcement model (why Step 1.5 is mandatory)</w:t>
      </w:r>
    </w:p>
    <w:p>
      <w:r>
        <w:rPr>
          <w:b w:val="0"/>
          <w:i w:val="0"/>
          <w:sz w:val="22"/>
        </w:rPr>
        <w:t>Every Apex entry point the consoles call checks the running user's object permissions before its SOQL/DML (literal Schema.sObjectType.X.isAccessible / isCreateable / isUpdateable / isDeletable guards) and enforces field-level security with Security.stripInaccessible or WITH USER_MODE. Previously the app ran entirely in system mode and worked for any user regardless of grants, which the AppExchange scanner reported as 239 CRUD/FLS violations. The current scan (report 40833) reports no Critical findings; the remaining Medium and Serious findings are the documented exceptions listed below, each one a deliberate design decision rather than a missing control.</w:t>
      </w:r>
    </w:p>
    <w:p>
      <w:r>
        <w:rPr>
          <w:b w:val="0"/>
          <w:i w:val="0"/>
          <w:sz w:val="22"/>
        </w:rPr>
        <w:t>The controllers remain ‘without sharing’ on purpose. Account's org-wide default is Private and every compliance object is Controlled by Parent, yet the Procurement and Analyst queues must show cases owned by other users. WITH USER_MODE would also enforce record sharing and silently empty those queues, so CRUD/FLS is enforced without changing the sharing model. The one behavioural change for a subscriber: a user who lacks the Section 1.5 grants is now refused instead of silently working in system mode.</w:t>
      </w:r>
    </w:p>
    <w:p>
      <w:pPr>
        <w:pStyle w:val="Heading3"/>
      </w:pPr>
      <w:r>
        <w:rPr>
          <w:color w:val="182335"/>
        </w:rPr>
        <w:t>Security-review false positives (intentionally unchecked SOQL/DML)</w:t>
      </w:r>
    </w:p>
    <w:p>
      <w:r>
        <w:rPr>
          <w:b w:val="0"/>
          <w:i w:val="0"/>
          <w:sz w:val="22"/>
        </w:rPr>
        <w:t>Submit this table with the security review's Checkmarx report. Each row is a deliberate design decision, documented in the class header of the code it describes.</w:t>
      </w:r>
    </w:p>
    <w:tbl>
      <w:tblPr>
        <w:tblStyle w:val="LightGrid-Accent1"/>
        <w:tblW w:type="auto" w:w="0"/>
        <w:jc w:val="left"/>
        <w:tblLook w:firstColumn="1" w:firstRow="1" w:lastColumn="0" w:lastRow="0" w:noHBand="0" w:noVBand="1" w:val="04A0"/>
      </w:tblPr>
      <w:tblGrid>
        <w:gridCol w:w="2880"/>
        <w:gridCol w:w="2880"/>
        <w:gridCol w:w="2880"/>
      </w:tblGrid>
      <w:tr>
        <w:tc>
          <w:tcPr>
            <w:tcW w:type="dxa" w:w="4032"/>
            <w:shd w:val="clear" w:color="auto" w:fill="03234B"/>
          </w:tcPr>
          <w:p>
            <w:r/>
            <w:r>
              <w:rPr>
                <w:b/>
                <w:color w:val="FFFFFF"/>
                <w:sz w:val="20"/>
              </w:rPr>
              <w:t>Where</w:t>
            </w:r>
          </w:p>
        </w:tc>
        <w:tc>
          <w:tcPr>
            <w:tcW w:type="dxa" w:w="720"/>
            <w:shd w:val="clear" w:color="auto" w:fill="03234B"/>
          </w:tcPr>
          <w:p>
            <w:r/>
            <w:r>
              <w:rPr>
                <w:b/>
                <w:color w:val="FFFFFF"/>
                <w:sz w:val="20"/>
              </w:rPr>
              <w:t>Sites</w:t>
            </w:r>
          </w:p>
        </w:tc>
        <w:tc>
          <w:tcPr>
            <w:tcW w:type="dxa" w:w="4752"/>
            <w:shd w:val="clear" w:color="auto" w:fill="03234B"/>
          </w:tcPr>
          <w:p>
            <w:r/>
            <w:r>
              <w:rPr>
                <w:b/>
                <w:color w:val="FFFFFF"/>
                <w:sz w:val="20"/>
              </w:rPr>
              <w:t>Why it is intentionally unchecked</w:t>
            </w:r>
          </w:p>
        </w:tc>
      </w:tr>
      <w:tr>
        <w:tc>
          <w:tcPr>
            <w:tcW w:type="dxa" w:w="4032"/>
          </w:tcPr>
          <w:p>
            <w:r/>
            <w:r>
              <w:rPr>
                <w:sz w:val="20"/>
              </w:rPr>
              <w:t>AuditLogService (5), IntegrationErrorLogger (2)</w:t>
            </w:r>
          </w:p>
        </w:tc>
        <w:tc>
          <w:tcPr>
            <w:tcW w:type="dxa" w:w="720"/>
          </w:tcPr>
          <w:p>
            <w:r/>
            <w:r>
              <w:rPr>
                <w:sz w:val="20"/>
              </w:rPr>
              <w:t>7</w:t>
            </w:r>
          </w:p>
        </w:tc>
        <w:tc>
          <w:tcPr>
            <w:tcW w:type="dxa" w:w="4752"/>
          </w:tcPr>
          <w:p>
            <w:r/>
            <w:r>
              <w:rPr>
                <w:sz w:val="20"/>
              </w:rPr>
              <w:t>The audit / error trail is a system-context sink: an entry records what a user did and must be written even when that user holds no Create on Audit_Log__c, otherwise a user could suppress their own trail. Personas get Read only; every controller routes audit rows through AuditLogService.write().</w:t>
            </w:r>
          </w:p>
        </w:tc>
      </w:tr>
      <w:tr>
        <w:tc>
          <w:tcPr>
            <w:tcW w:type="dxa" w:w="4032"/>
          </w:tcPr>
          <w:p>
            <w:r/>
            <w:r>
              <w:rPr>
                <w:sz w:val="20"/>
              </w:rPr>
              <w:t>RiskScoreService (3), MultiTierRollupService (3), SupplierProfileTriggerHandler (1)</w:t>
            </w:r>
          </w:p>
        </w:tc>
        <w:tc>
          <w:tcPr>
            <w:tcW w:type="dxa" w:w="720"/>
          </w:tcPr>
          <w:p>
            <w:r/>
            <w:r>
              <w:rPr>
                <w:sz w:val="20"/>
              </w:rPr>
              <w:t>7</w:t>
            </w:r>
          </w:p>
        </w:tc>
        <w:tc>
          <w:tcPr>
            <w:tcW w:type="dxa" w:w="4752"/>
          </w:tcPr>
          <w:p>
            <w:r/>
            <w:r>
              <w:rPr>
                <w:sz w:val="20"/>
              </w:rPr>
              <w:t>Platform-maintained rollups and trigger handlers run on behalf of the system (queueable, batch, platform-event trigger, DML trigger), not the acting user; a parent supplier's rollup must update even when the user whose change enqueued it cannot edit that parent.</w:t>
            </w:r>
          </w:p>
        </w:tc>
      </w:tr>
      <w:tr>
        <w:tc>
          <w:tcPr>
            <w:tcW w:type="dxa" w:w="4032"/>
          </w:tcPr>
          <w:p>
            <w:r/>
            <w:r>
              <w:rPr>
                <w:sz w:val="20"/>
              </w:rPr>
              <w:t>VendorPortalController — *Impl methods, verifyPortalTokenId, documentBelongsToSupplier, generateSupplierPortalUrl</w:t>
            </w:r>
          </w:p>
        </w:tc>
        <w:tc>
          <w:tcPr>
            <w:tcW w:type="dxa" w:w="720"/>
          </w:tcPr>
          <w:p>
            <w:r/>
            <w:r>
              <w:rPr>
                <w:sz w:val="20"/>
              </w:rPr>
              <w:t>24</w:t>
            </w:r>
          </w:p>
        </w:tc>
        <w:tc>
          <w:tcPr>
            <w:tcW w:type="dxa" w:w="4752"/>
          </w:tcPr>
          <w:p>
            <w:r/>
            <w:r>
              <w:rPr>
                <w:sz w:val="20"/>
              </w:rPr>
              <w:t>Guest supplier portal: the Experience Cloud guest user holds no object permissions by design; the supplier's durable token, re-verified on every call, is the authorization. Internal entry points reach the same *Impl only after their own guards, so a guest calling an internal entry point directly is refused (verified by CrudEnforcementTest).</w:t>
            </w:r>
          </w:p>
        </w:tc>
      </w:tr>
      <w:tr>
        <w:tc>
          <w:tcPr>
            <w:tcW w:type="dxa" w:w="4032"/>
          </w:tcPr>
          <w:p>
            <w:r/>
            <w:r>
              <w:rPr>
                <w:sz w:val="20"/>
              </w:rPr>
              <w:t>DocumentProcessingController — saveFileImpl, linkDocumentToComplianceInternal, getLatestContentVersionId</w:t>
            </w:r>
          </w:p>
        </w:tc>
        <w:tc>
          <w:tcPr>
            <w:tcW w:type="dxa" w:w="720"/>
          </w:tcPr>
          <w:p>
            <w:r/>
            <w:r>
              <w:rPr>
                <w:sz w:val="20"/>
              </w:rPr>
              <w:t>18</w:t>
            </w:r>
          </w:p>
        </w:tc>
        <w:tc>
          <w:tcPr>
            <w:tcW w:type="dxa" w:w="4752"/>
          </w:tcPr>
          <w:p>
            <w:r/>
            <w:r>
              <w:rPr>
                <w:sz w:val="20"/>
              </w:rPr>
              <w:t>Same guest upload path (saveFileByToken, linkDocumentToComplianceByToken, addDocumentToComplianceByToken).</w:t>
            </w:r>
          </w:p>
        </w:tc>
      </w:tr>
      <w:tr>
        <w:tc>
          <w:tcPr>
            <w:tcW w:type="dxa" w:w="4032"/>
          </w:tcPr>
          <w:p>
            <w:r/>
            <w:r>
              <w:rPr>
                <w:sz w:val="20"/>
              </w:rPr>
              <w:t>SubSupplierController — *Impl methods, sendInvitationEmail (incl. best-effort community User provisioning)</w:t>
            </w:r>
          </w:p>
        </w:tc>
        <w:tc>
          <w:tcPr>
            <w:tcW w:type="dxa" w:w="720"/>
          </w:tcPr>
          <w:p>
            <w:r/>
            <w:r>
              <w:rPr>
                <w:sz w:val="20"/>
              </w:rPr>
              <w:t>20</w:t>
            </w:r>
          </w:p>
        </w:tc>
        <w:tc>
          <w:tcPr>
            <w:tcW w:type="dxa" w:w="4752"/>
          </w:tcPr>
          <w:p>
            <w:r/>
            <w:r>
              <w:rPr>
                <w:sz w:val="20"/>
              </w:rPr>
              <w:t>Same guest path: a Tier-1 supplier inviting a sub-supplier through its own token link (the parent Account is always the token's account, never a client-supplied Id).</w:t>
            </w:r>
          </w:p>
        </w:tc>
      </w:tr>
    </w:tbl>
    <w:p/>
    <w:p>
      <w:r>
        <w:br w:type="page"/>
      </w:r>
    </w:p>
    <w:p>
      <w:r>
        <w:rPr>
          <w:color w:val="4B5A70"/>
          <w:sz w:val="18"/>
        </w:rPr>
        <w:t>Vendor GRACE — Post-Installation Setup Guide v1.2  |  Package 1.2.0.3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823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