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234B"/>
          <w:sz w:val="60"/>
        </w:rPr>
        <w:t>Vendor GRACE</w:t>
      </w:r>
    </w:p>
    <w:p>
      <w:r>
        <w:rPr>
          <w:color w:val="4B5A70"/>
          <w:sz w:val="30"/>
        </w:rPr>
        <w:t>Post-Installation Setup Guide — by Persona</w:t>
      </w:r>
    </w:p>
    <w:p>
      <w:r>
        <w:rPr>
          <w:color w:val="4B5A70"/>
          <w:sz w:val="19"/>
        </w:rPr>
        <w:t>Version 1.0  |  Date: September 2026  |  Mirketa Inc. — Salesforce Practice  |  Confidential</w:t>
      </w:r>
    </w:p>
    <w:p/>
    <w:p>
      <w:r>
        <w:rPr>
          <w:b w:val="0"/>
          <w:i w:val="0"/>
          <w:sz w:val="22"/>
        </w:rPr>
        <w:t>This guide walks through every step required after installing the Vendor GRACE managed package, organized by who performs it: the Admin who runs the one-time install configuration, and the Procurement and Analyst personas who each need specific access confirmed before they can use the app. Steps here reflect real packaging constraints discovered and fixed during 2GP package creation — several of them exist BECAUSE Salesforce's packaging model does not allow certain access to be shipped inside the package itself.</w:t>
      </w:r>
    </w:p>
    <w:p>
      <w:r>
        <w:br w:type="page"/>
      </w:r>
    </w:p>
    <w:p>
      <w:pPr>
        <w:pStyle w:val="Heading1"/>
      </w:pPr>
      <w:r>
        <w:rPr>
          <w:color w:val="03234B"/>
        </w:rPr>
        <w:t>Contents</w:t>
      </w:r>
    </w:p>
    <w:p>
      <w:r>
        <w:rPr>
          <w:b/>
        </w:rPr>
        <w:t>1. Before you begin</w:t>
      </w:r>
    </w:p>
    <w:p>
      <w:r>
        <w:rPr>
          <w:b/>
        </w:rPr>
        <w:t>2. Section 1 — Admin / Installer setup</w:t>
      </w:r>
      <w:r>
        <w:rPr>
          <w:i/>
          <w:color w:val="4B5A70"/>
        </w:rPr>
        <w:t xml:space="preserve">   (Admin)</w:t>
      </w:r>
    </w:p>
    <w:p>
      <w:r>
        <w:rPr>
          <w:b/>
        </w:rPr>
        <w:t>3. Section 2 — Procurement persona setup</w:t>
      </w:r>
      <w:r>
        <w:rPr>
          <w:i/>
          <w:color w:val="4B5A70"/>
        </w:rPr>
        <w:t xml:space="preserve">   (Procurement)</w:t>
      </w:r>
    </w:p>
    <w:p>
      <w:r>
        <w:rPr>
          <w:b/>
        </w:rPr>
        <w:t>4. Section 3 — Analyst persona setup</w:t>
      </w:r>
      <w:r>
        <w:rPr>
          <w:i/>
          <w:color w:val="4B5A70"/>
        </w:rPr>
        <w:t xml:space="preserve">   (Analyst)</w:t>
      </w:r>
    </w:p>
    <w:p>
      <w:r>
        <w:rPr>
          <w:b/>
        </w:rPr>
        <w:t>5. Section 4 — Verification checklist</w:t>
      </w:r>
      <w:r>
        <w:rPr>
          <w:i/>
          <w:color w:val="4B5A70"/>
        </w:rPr>
        <w:t xml:space="preserve">   (Admin)</w:t>
      </w:r>
    </w:p>
    <w:p>
      <w:r>
        <w:rPr>
          <w:b/>
        </w:rPr>
        <w:t>6. Appendix — Why these manual steps exist</w:t>
      </w:r>
    </w:p>
    <w:p>
      <w:r>
        <w:br w:type="page"/>
      </w:r>
    </w:p>
    <w:p>
      <w:pPr>
        <w:pStyle w:val="Heading1"/>
      </w:pPr>
      <w:r>
        <w:rPr>
          <w:color w:val="03234B"/>
        </w:rPr>
        <w:t>Before You Begin</w:t>
      </w:r>
    </w:p>
    <w:p>
      <w:r>
        <w:rPr>
          <w:b w:val="0"/>
          <w:i w:val="0"/>
          <w:sz w:val="22"/>
        </w:rPr>
        <w:t>What you'll need before starting installation:</w:t>
      </w:r>
    </w:p>
    <w:p>
      <w:pPr>
        <w:pStyle w:val="ListBullet"/>
      </w:pPr>
      <w:r>
        <w:t>System Administrator access to the target Salesforce org</w:t>
      </w:r>
    </w:p>
    <w:p>
      <w:pPr>
        <w:pStyle w:val="ListBullet"/>
      </w:pPr>
      <w:r>
        <w:t>The Vendor GRACE package installation URL</w:t>
      </w:r>
    </w:p>
    <w:p>
      <w:pPr>
        <w:pStyle w:val="ListBullet"/>
      </w:pPr>
      <w:r>
        <w:t>Your own Azure-hosted (or otherwise self-hosted) compliance engine URL and its inbound bearer token — the package does NOT include a working engine connection; you point it at your own deployment</w:t>
      </w:r>
    </w:p>
    <w:p>
      <w:pPr>
        <w:pStyle w:val="ListBullet"/>
      </w:pPr>
      <w:r>
        <w:t>An OpenAI API key (or your own configured LLM provider's key) for the engine itself — this is an engine-side setting, not something granted inside Salesforce</w:t>
      </w:r>
    </w:p>
    <w:p>
      <w:pPr>
        <w:pStyle w:val="ListBullet"/>
      </w:pPr>
      <w:r>
        <w:t>A list of which users belong to which persona (Procurement / Analyst) before assigning permission sets</w:t>
      </w:r>
    </w:p>
    <w:p>
      <w:pPr>
        <w:ind w:left="360"/>
      </w:pPr>
      <w:r>
        <w:rPr>
          <w:b/>
          <w:color w:val="4B5A70"/>
        </w:rPr>
        <w:t xml:space="preserve">Estimated time:  </w:t>
      </w:r>
      <w:r>
        <w:rPr>
          <w:color w:val="4B5A70"/>
          <w:sz w:val="21"/>
        </w:rPr>
        <w:t>30–45 minutes for a first-time install with 2–3 test users across both personas.</w:t>
      </w:r>
    </w:p>
    <w:p>
      <w:r>
        <w:br w:type="page"/>
      </w:r>
    </w:p>
    <w:p>
      <w:pPr>
        <w:pStyle w:val="Heading1"/>
      </w:pPr>
      <w:r>
        <w:rPr>
          <w:color w:val="03234B"/>
        </w:rPr>
        <w:t>Section 1 — Admin / Installer Setup</w:t>
      </w:r>
    </w:p>
    <w:p>
      <w:r>
        <w:rPr>
          <w:b w:val="0"/>
          <w:i w:val="0"/>
          <w:sz w:val="22"/>
        </w:rPr>
        <w:t>Performed once, by the Salesforce Administrator installing the package. Complete these steps in order — later steps depend on earlier ones.</w:t>
      </w:r>
    </w:p>
    <w:p>
      <w:pPr>
        <w:pStyle w:val="Heading2"/>
      </w:pPr>
      <w:r>
        <w:rPr>
          <w:color w:val="03234B"/>
        </w:rPr>
        <w:t>1.1  Install the package</w:t>
      </w:r>
    </w:p>
    <w:p>
      <w:pPr>
        <w:pStyle w:val="ListNumber"/>
      </w:pPr>
      <w:r>
        <w:t>Open the package installation URL in the target org.</w:t>
      </w:r>
    </w:p>
    <w:p>
      <w:pPr>
        <w:pStyle w:val="ListNumber"/>
      </w:pPr>
      <w:r>
        <w:t>Choose “Install for All Users” (recommended) or “Install for Admins Only” if you want to control persona rollout manually before granting access.</w:t>
      </w:r>
    </w:p>
    <w:p>
      <w:pPr>
        <w:pStyle w:val="ListNumber"/>
      </w:pPr>
      <w:r>
        <w:t>Wait for install to complete — this can take several minutes for a package this size.</w:t>
      </w:r>
    </w:p>
    <w:p>
      <w:pPr>
        <w:pStyle w:val="Heading2"/>
      </w:pPr>
      <w:r>
        <w:rPr>
          <w:color w:val="03234B"/>
        </w:rPr>
        <w:t>1.2  Point the Named Credential at your own engine</w:t>
      </w:r>
    </w:p>
    <w:p>
      <w:r>
        <w:rPr>
          <w:b w:val="0"/>
          <w:i w:val="0"/>
          <w:sz w:val="22"/>
        </w:rPr>
        <w:t>The package ships a Named Credential (Local_Compliance_Service) with a placeholder URL. Every org must point this at its own compliance engine deployment.</w:t>
      </w:r>
    </w:p>
    <w:p>
      <w:pPr>
        <w:pStyle w:val="ListNumber"/>
      </w:pPr>
      <w:r>
        <w:t>Setup → Quick Find → “Named Credentials”.</w:t>
      </w:r>
    </w:p>
    <w:p>
      <w:pPr>
        <w:pStyle w:val="ListNumber"/>
      </w:pPr>
      <w:r>
        <w:t>Open Local_Compliance_Service.</w:t>
      </w:r>
    </w:p>
    <w:p>
      <w:pPr>
        <w:pStyle w:val="ListNumber"/>
      </w:pPr>
      <w:r>
        <w:t>Edit the URL parameter to your engine's real, reachable HTTPS endpoint (e.g. your Azure App Service URL, or a dev tunnel URL for local testing).</w:t>
      </w:r>
    </w:p>
    <w:p>
      <w:pPr>
        <w:pStyle w:val="ListNumber"/>
      </w:pPr>
      <w:r>
        <w:t>Save.</w:t>
      </w:r>
    </w:p>
    <w:p>
      <w:pPr>
        <w:ind w:left="360"/>
      </w:pPr>
      <w:r>
        <w:rPr>
          <w:b/>
          <w:color w:val="4B5A70"/>
        </w:rPr>
        <w:t xml:space="preserve">Why this is manual:  </w:t>
      </w:r>
      <w:r>
        <w:rPr>
          <w:color w:val="4B5A70"/>
          <w:sz w:val="21"/>
        </w:rPr>
        <w:t>engine URLs are deployment-specific — every customer runs their own instance, so this can never ship pre-filled.</w:t>
      </w:r>
    </w:p>
    <w:p>
      <w:pPr>
        <w:pStyle w:val="Heading2"/>
      </w:pPr>
      <w:r>
        <w:rPr>
          <w:color w:val="03234B"/>
        </w:rPr>
        <w:t>1.3  Set the inbound authentication token</w:t>
      </w:r>
    </w:p>
    <w:p>
      <w:r>
        <w:rPr>
          <w:b w:val="0"/>
          <w:i w:val="0"/>
          <w:sz w:val="22"/>
        </w:rPr>
        <w:t>The engine authenticates inbound Salesforce callouts via a bearer token, held in an External Credential Principal — NOT packaged with a real value (see Appendix for why).</w:t>
      </w:r>
    </w:p>
    <w:p>
      <w:pPr>
        <w:pStyle w:val="ListNumber"/>
      </w:pPr>
      <w:r>
        <w:t>Setup → Quick Find → “Named Credentials” → External Credentials tab.</w:t>
      </w:r>
    </w:p>
    <w:p>
      <w:pPr>
        <w:pStyle w:val="ListNumber"/>
      </w:pPr>
      <w:r>
        <w:t>Open Local_Compliance_Auth.</w:t>
      </w:r>
    </w:p>
    <w:p>
      <w:pPr>
        <w:pStyle w:val="ListNumber"/>
      </w:pPr>
      <w:r>
        <w:t>Under Principals, edit the Admin principal.</w:t>
      </w:r>
    </w:p>
    <w:p>
      <w:pPr>
        <w:pStyle w:val="ListNumber"/>
      </w:pPr>
      <w:r>
        <w:t>Set the Authorization header value to “Bearer &lt;your engine's INBOUND_TOKEN&gt;” — this must match the INBOUND_TOKEN your engine deployment is configured with.</w:t>
      </w:r>
    </w:p>
    <w:p>
      <w:pPr>
        <w:pStyle w:val="ListNumber"/>
      </w:pPr>
      <w:r>
        <w:t>Save.</w:t>
      </w:r>
    </w:p>
    <w:p>
      <w:pPr>
        <w:pStyle w:val="Heading2"/>
      </w:pPr>
      <w:r>
        <w:rPr>
          <w:color w:val="03234B"/>
        </w:rPr>
        <w:t>1.4  Grant the External Credential Principal to users</w:t>
      </w:r>
    </w:p>
    <w:p>
      <w:r>
        <w:rPr>
          <w:b w:val="0"/>
          <w:i w:val="0"/>
          <w:sz w:val="22"/>
        </w:rPr>
        <w:t>This step is required because Salesforce does not allow packaged Permission Sets to grant External Credential Principal access (see Appendix).</w:t>
      </w:r>
    </w:p>
    <w:p>
      <w:pPr>
        <w:pStyle w:val="ListNumber"/>
      </w:pPr>
      <w:r>
        <w:t>Setup → Permission Sets → open Local_Compliance_Callout.</w:t>
      </w:r>
    </w:p>
    <w:p>
      <w:pPr>
        <w:pStyle w:val="ListNumber"/>
      </w:pPr>
      <w:r>
        <w:t>External Credential Principal Access → Edit.</w:t>
      </w:r>
    </w:p>
    <w:p>
      <w:pPr>
        <w:pStyle w:val="ListNumber"/>
      </w:pPr>
      <w:r>
        <w:t>Enable access to Local_Compliance_Auth-Admin.</w:t>
      </w:r>
    </w:p>
    <w:p>
      <w:pPr>
        <w:pStyle w:val="ListNumber"/>
      </w:pPr>
      <w:r>
        <w:t>Save.</w:t>
      </w:r>
    </w:p>
    <w:p>
      <w:pPr>
        <w:pStyle w:val="Heading2"/>
      </w:pPr>
      <w:r>
        <w:rPr>
          <w:color w:val="03234B"/>
        </w:rPr>
        <w:t>1.5  Grant Profile-level object access</w:t>
      </w:r>
    </w:p>
    <w:p>
      <w:r>
        <w:rPr>
          <w:b w:val="0"/>
          <w:i w:val="0"/>
          <w:sz w:val="22"/>
        </w:rPr>
        <w:t>Salesforce's packaging rules do not allow a packaged Permission Set to grant object/field permissions on a custom object that has a Master-Detail relationship to a standard object (Compliance_Assessment__c → Account). This access must be granted at the Profile level instead.</w:t>
      </w:r>
    </w:p>
    <w:tbl>
      <w:tblPr>
        <w:tblStyle w:val="LightGrid-Accent1"/>
        <w:tblW w:type="auto" w:w="0"/>
        <w:jc w:val="left"/>
        <w:tblLook w:firstColumn="1" w:firstRow="1" w:lastColumn="0" w:lastRow="0" w:noHBand="0" w:noVBand="1" w:val="04A0"/>
      </w:tblPr>
      <w:tblGrid>
        <w:gridCol w:w="2880"/>
        <w:gridCol w:w="2880"/>
        <w:gridCol w:w="2880"/>
      </w:tblGrid>
      <w:tr>
        <w:tc>
          <w:tcPr>
            <w:tcW w:type="dxa" w:w="3744"/>
            <w:shd w:val="clear" w:color="auto" w:fill="03234B"/>
          </w:tcPr>
          <w:p>
            <w:r/>
            <w:r>
              <w:rPr>
                <w:b/>
                <w:color w:val="FFFFFF"/>
                <w:sz w:val="20"/>
              </w:rPr>
              <w:t>Object</w:t>
            </w:r>
          </w:p>
        </w:tc>
        <w:tc>
          <w:tcPr>
            <w:tcW w:type="dxa" w:w="2880"/>
            <w:shd w:val="clear" w:color="auto" w:fill="03234B"/>
          </w:tcPr>
          <w:p>
            <w:r/>
            <w:r>
              <w:rPr>
                <w:b/>
                <w:color w:val="FFFFFF"/>
                <w:sz w:val="20"/>
              </w:rPr>
              <w:t>Access needed</w:t>
            </w:r>
          </w:p>
        </w:tc>
        <w:tc>
          <w:tcPr>
            <w:tcW w:type="dxa" w:w="2880"/>
            <w:shd w:val="clear" w:color="auto" w:fill="03234B"/>
          </w:tcPr>
          <w:p>
            <w:r/>
            <w:r>
              <w:rPr>
                <w:b/>
                <w:color w:val="FFFFFF"/>
                <w:sz w:val="20"/>
              </w:rPr>
              <w:t>Applies to</w:t>
            </w:r>
          </w:p>
        </w:tc>
      </w:tr>
      <w:tr>
        <w:tc>
          <w:tcPr>
            <w:tcW w:type="dxa" w:w="3744"/>
          </w:tcPr>
          <w:p>
            <w:r/>
            <w:r>
              <w:rPr>
                <w:sz w:val="20"/>
              </w:rPr>
              <w:t>Compliance_Assessment__c</w:t>
            </w:r>
          </w:p>
        </w:tc>
        <w:tc>
          <w:tcPr>
            <w:tcW w:type="dxa" w:w="2880"/>
          </w:tcPr>
          <w:p>
            <w:r/>
            <w:r>
              <w:rPr>
                <w:sz w:val="20"/>
              </w:rPr>
              <w:t>Read, Edit</w:t>
            </w:r>
          </w:p>
        </w:tc>
        <w:tc>
          <w:tcPr>
            <w:tcW w:type="dxa" w:w="2880"/>
          </w:tcPr>
          <w:p>
            <w:r/>
            <w:r>
              <w:rPr>
                <w:sz w:val="20"/>
              </w:rPr>
              <w:t>Procurement + Analyst profiles</w:t>
            </w:r>
          </w:p>
        </w:tc>
      </w:tr>
      <w:tr>
        <w:tc>
          <w:tcPr>
            <w:tcW w:type="dxa" w:w="3744"/>
          </w:tcPr>
          <w:p>
            <w:r/>
            <w:r>
              <w:rPr>
                <w:sz w:val="20"/>
              </w:rPr>
              <w:t>Compliance_Document_Link__c</w:t>
            </w:r>
          </w:p>
        </w:tc>
        <w:tc>
          <w:tcPr>
            <w:tcW w:type="dxa" w:w="2880"/>
          </w:tcPr>
          <w:p>
            <w:r/>
            <w:r>
              <w:rPr>
                <w:sz w:val="20"/>
              </w:rPr>
              <w:t>Read, Create, Edit, Delete</w:t>
            </w:r>
          </w:p>
        </w:tc>
        <w:tc>
          <w:tcPr>
            <w:tcW w:type="dxa" w:w="2880"/>
          </w:tcPr>
          <w:p>
            <w:r/>
            <w:r>
              <w:rPr>
                <w:sz w:val="20"/>
              </w:rPr>
              <w:t>Procurement + Analyst profiles</w:t>
            </w:r>
          </w:p>
        </w:tc>
      </w:tr>
      <w:tr>
        <w:tc>
          <w:tcPr>
            <w:tcW w:type="dxa" w:w="3744"/>
          </w:tcPr>
          <w:p>
            <w:r/>
            <w:r>
              <w:rPr>
                <w:sz w:val="20"/>
              </w:rPr>
              <w:t>Account</w:t>
            </w:r>
          </w:p>
        </w:tc>
        <w:tc>
          <w:tcPr>
            <w:tcW w:type="dxa" w:w="2880"/>
          </w:tcPr>
          <w:p>
            <w:r/>
            <w:r>
              <w:rPr>
                <w:sz w:val="20"/>
              </w:rPr>
              <w:t>Read (Edit for Procurement)</w:t>
            </w:r>
          </w:p>
        </w:tc>
        <w:tc>
          <w:tcPr>
            <w:tcW w:type="dxa" w:w="2880"/>
          </w:tcPr>
          <w:p>
            <w:r/>
            <w:r>
              <w:rPr>
                <w:sz w:val="20"/>
              </w:rPr>
              <w:t>Procurement + Analyst profiles</w:t>
            </w:r>
          </w:p>
        </w:tc>
      </w:tr>
    </w:tbl>
    <w:p/>
    <w:p>
      <w:pPr>
        <w:pStyle w:val="ListNumber"/>
      </w:pPr>
      <w:r>
        <w:t>Setup → Profiles → open each relevant profile (or clone Standard User into dedicated Procurement/Analyst profiles if you haven't already).</w:t>
      </w:r>
    </w:p>
    <w:p>
      <w:pPr>
        <w:pStyle w:val="ListNumber"/>
      </w:pPr>
      <w:r>
        <w:t>Object Settings → grant the access shown in the table above for each object.</w:t>
      </w:r>
    </w:p>
    <w:p>
      <w:pPr>
        <w:pStyle w:val="ListNumber"/>
      </w:pPr>
      <w:r>
        <w:t>Field-Level Security: the packaged Permission Sets already grant field-level access on Compliance_Assessment__c and Compliance_Document_Link__c — only the object-level grant above is a manual step.</w:t>
      </w:r>
    </w:p>
    <w:p>
      <w:pPr>
        <w:pStyle w:val="Heading2"/>
      </w:pPr>
      <w:r>
        <w:rPr>
          <w:color w:val="03234B"/>
        </w:rPr>
        <w:t>1.6  Assign permission sets per user</w:t>
      </w:r>
    </w:p>
    <w:p>
      <w:r>
        <w:rPr>
          <w:b w:val="0"/>
          <w:i w:val="0"/>
          <w:sz w:val="22"/>
        </w:rPr>
        <w:t>See Sections 2 and 3 for exactly which permission sets go to which persona. As Admin, assign them via Setup → Permission Sets → [set name] → Manage Assignments → Add Assignment.</w:t>
      </w:r>
    </w:p>
    <w:p>
      <w:pPr>
        <w:pStyle w:val="Heading2"/>
      </w:pPr>
      <w:r>
        <w:rPr>
          <w:color w:val="03234B"/>
        </w:rPr>
        <w:t>1.7  Confirm Guest User access (Supplier Portal only)</w:t>
      </w:r>
    </w:p>
    <w:p>
      <w:pPr>
        <w:ind w:left="360"/>
      </w:pPr>
      <w:r>
        <w:rPr>
          <w:b/>
          <w:color w:val="B45309"/>
        </w:rPr>
        <w:t xml:space="preserve">⚠ Known gap:  </w:t>
      </w:r>
      <w:r>
        <w:rPr>
          <w:color w:val="4B5A70"/>
          <w:sz w:val="21"/>
        </w:rPr>
        <w:t>the current package has no explicit Guest Profile Object Permissions for ContentDocument, ContentDocumentLink, Compliance_Document__c, or Account. If you use the public Supplier Portal, verify Guest User document upload/removal works in your org before relying on it — grant explicit Guest Profile object permissions on those four objects if it doesn't.</w:t>
      </w:r>
    </w:p>
    <w:p>
      <w:pPr>
        <w:pStyle w:val="Heading2"/>
      </w:pPr>
      <w:r>
        <w:rPr>
          <w:color w:val="03234B"/>
        </w:rPr>
        <w:t>1.8  Set the engine's LLM provider key</w:t>
      </w:r>
    </w:p>
    <w:p>
      <w:r>
        <w:rPr>
          <w:b w:val="0"/>
          <w:i w:val="0"/>
          <w:sz w:val="22"/>
        </w:rPr>
        <w:t>This is configured on your engine deployment directly (Azure App Service Application Settings, or your engine's .env), not inside Salesforce. Set OPENAI_API_KEY (or your chosen provider's key) there. No redeploy is required to change this — it takes effect on the engine's next restart.</w:t>
      </w:r>
    </w:p>
    <w:p>
      <w:r>
        <w:br w:type="page"/>
      </w:r>
    </w:p>
    <w:p>
      <w:pPr>
        <w:pStyle w:val="Heading1"/>
      </w:pPr>
      <w:r>
        <w:rPr>
          <w:color w:val="03234B"/>
        </w:rPr>
        <w:t>Section 2 — Procurement Persona Setup</w:t>
      </w:r>
    </w:p>
    <w:p>
      <w:r>
        <w:rPr>
          <w:b w:val="0"/>
          <w:i w:val="0"/>
          <w:sz w:val="22"/>
        </w:rPr>
        <w:t>Performed by the Admin, once per Procurement user (or once via profile default + permission set assignment for the whole team).</w:t>
      </w:r>
    </w:p>
    <w:p>
      <w:pPr>
        <w:pStyle w:val="Heading2"/>
      </w:pPr>
      <w:r>
        <w:rPr>
          <w:color w:val="03234B"/>
        </w:rPr>
        <w:t>2.1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Compliance Console tab, Audit Log, Policy Documents, core object field access</w:t>
            </w:r>
          </w:p>
        </w:tc>
      </w:tr>
      <w:tr>
        <w:tc>
          <w:tcPr>
            <w:tcW w:type="dxa" w:w="3456"/>
          </w:tcPr>
          <w:p>
            <w:r/>
            <w:r>
              <w:rPr>
                <w:sz w:val="20"/>
              </w:rPr>
              <w:t>Procurement_Workspace_Access</w:t>
            </w:r>
          </w:p>
        </w:tc>
        <w:tc>
          <w:tcPr>
            <w:tcW w:type="dxa" w:w="6048"/>
          </w:tcPr>
          <w:p>
            <w:r/>
            <w:r>
              <w:rPr>
                <w:sz w:val="20"/>
              </w:rPr>
              <w:t>Procurement-specific tabs (Intelligence Dashboard, Policy Documents), 4 required Apex class grants, Compliance_Document_Link__c field access</w:t>
            </w:r>
          </w:p>
        </w:tc>
      </w:tr>
      <w:tr>
        <w:tc>
          <w:tcPr>
            <w:tcW w:type="dxa" w:w="3456"/>
          </w:tcPr>
          <w:p>
            <w:r/>
            <w:r>
              <w:rPr>
                <w:sz w:val="20"/>
              </w:rPr>
              <w:t>Full_Supplier_Visibility</w:t>
            </w:r>
          </w:p>
        </w:tc>
        <w:tc>
          <w:tcPr>
            <w:tcW w:type="dxa" w:w="6048"/>
          </w:tcPr>
          <w:p>
            <w:r/>
            <w:r>
              <w:rPr>
                <w:sz w:val="20"/>
              </w:rPr>
              <w:t>View/modify ALL Supplier Accounts regardless of ownership — Procurement only, do NOT assign to Analysts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pStyle w:val="Heading2"/>
      </w:pPr>
      <w:r>
        <w:rPr>
          <w:color w:val="03234B"/>
        </w:rPr>
        <w:t>2.2  Confirm tab visibility</w:t>
      </w:r>
    </w:p>
    <w:p>
      <w:r>
        <w:rPr>
          <w:b w:val="0"/>
          <w:i w:val="0"/>
          <w:sz w:val="22"/>
        </w:rPr>
        <w:t>After assignment, the user should see these tabs inside the Vendor GRACE app: Compliance Console, Audit Log, Policy Documents, Intelligence Dashboard, Accounts.</w:t>
      </w:r>
    </w:p>
    <w:p>
      <w:pPr>
        <w:pStyle w:val="Heading2"/>
      </w:pPr>
      <w:r>
        <w:rPr>
          <w:color w:val="03234B"/>
        </w:rPr>
        <w:t>2.3  What Procurement can do</w:t>
      </w:r>
    </w:p>
    <w:p>
      <w:pPr>
        <w:pStyle w:val="ListBullet"/>
      </w:pPr>
      <w:r>
        <w:t>Generate and edit supplier onboarding checklists</w:t>
      </w:r>
    </w:p>
    <w:p>
      <w:pPr>
        <w:pStyle w:val="ListBullet"/>
      </w:pPr>
      <w:r>
        <w:t>Request documents from suppliers (triggers an email with a portal link)</w:t>
      </w:r>
    </w:p>
    <w:p>
      <w:pPr>
        <w:pStyle w:val="ListBullet"/>
      </w:pPr>
      <w:r>
        <w:t>Review uploaded documents, Approve / Reject / Defer each</w:t>
      </w:r>
    </w:p>
    <w:p>
      <w:pPr>
        <w:pStyle w:val="ListBullet"/>
      </w:pPr>
      <w:r>
        <w:t>Hand off to Analyst review (only for suppliers whose risk tier requires it)</w:t>
      </w:r>
    </w:p>
    <w:p>
      <w:pPr>
        <w:pStyle w:val="ListBullet"/>
      </w:pPr>
      <w:r>
        <w:t>Onboard a supplier directly if every document is Approved (no Analyst step needed)</w:t>
      </w:r>
    </w:p>
    <w:p>
      <w:pPr>
        <w:pStyle w:val="ListBullet"/>
      </w:pPr>
      <w:r>
        <w:t>Use the GRACE co-pilot for supplier Q&amp;A</w:t>
      </w:r>
    </w:p>
    <w:p>
      <w:r>
        <w:br w:type="page"/>
      </w:r>
    </w:p>
    <w:p>
      <w:pPr>
        <w:pStyle w:val="Heading1"/>
      </w:pPr>
      <w:r>
        <w:rPr>
          <w:color w:val="03234B"/>
        </w:rPr>
        <w:t>Section 3 — Analyst Persona Setup</w:t>
      </w:r>
    </w:p>
    <w:p>
      <w:r>
        <w:rPr>
          <w:b w:val="0"/>
          <w:i w:val="0"/>
          <w:sz w:val="22"/>
        </w:rPr>
        <w:t>Performed by the Admin, once per Analyst user.</w:t>
      </w:r>
    </w:p>
    <w:p>
      <w:pPr>
        <w:pStyle w:val="Heading2"/>
      </w:pPr>
      <w:r>
        <w:rPr>
          <w:color w:val="03234B"/>
        </w:rPr>
        <w:t>3.1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same as Procurement</w:t>
            </w:r>
          </w:p>
        </w:tc>
      </w:tr>
      <w:tr>
        <w:tc>
          <w:tcPr>
            <w:tcW w:type="dxa" w:w="3456"/>
          </w:tcPr>
          <w:p>
            <w:r/>
            <w:r>
              <w:rPr>
                <w:sz w:val="20"/>
              </w:rPr>
              <w:t>Analyst_Workspace_Access</w:t>
            </w:r>
          </w:p>
        </w:tc>
        <w:tc>
          <w:tcPr>
            <w:tcW w:type="dxa" w:w="6048"/>
          </w:tcPr>
          <w:p>
            <w:r/>
            <w:r>
              <w:rPr>
                <w:sz w:val="20"/>
              </w:rPr>
              <w:t>Analyst Console tab, Intelligence Dashboard, Compliance_Document_Link__c field access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ind w:left="360"/>
      </w:pPr>
      <w:r>
        <w:rPr>
          <w:b/>
          <w:color w:val="B45309"/>
        </w:rPr>
        <w:t xml:space="preserve">Do NOT assign:  </w:t>
      </w:r>
      <w:r>
        <w:rPr>
          <w:color w:val="4B5A70"/>
          <w:sz w:val="21"/>
        </w:rPr>
        <w:t>Full_Supplier_Visibility — Analysts should see only suppliers assigned to them, not every supplier in the org.</w:t>
      </w:r>
    </w:p>
    <w:p>
      <w:pPr>
        <w:pStyle w:val="Heading2"/>
      </w:pPr>
      <w:r>
        <w:rPr>
          <w:color w:val="03234B"/>
        </w:rPr>
        <w:t>3.2  Confirm tab visibility</w:t>
      </w:r>
    </w:p>
    <w:p>
      <w:r>
        <w:rPr>
          <w:b w:val="0"/>
          <w:i w:val="0"/>
          <w:sz w:val="22"/>
        </w:rPr>
        <w:t>After assignment, the user should see these tabs: Compliance Console, Audit Log, Intelligence Dashboard, Accounts.</w:t>
      </w:r>
    </w:p>
    <w:p>
      <w:pPr>
        <w:pStyle w:val="Heading2"/>
      </w:pPr>
      <w:r>
        <w:rPr>
          <w:color w:val="03234B"/>
        </w:rPr>
        <w:t>3.3  What Analysts can do</w:t>
      </w:r>
    </w:p>
    <w:p>
      <w:pPr>
        <w:pStyle w:val="ListBullet"/>
      </w:pPr>
      <w:r>
        <w:t>Review cases handed off by Procurement (high/critical risk-tier suppliers only)</w:t>
      </w:r>
    </w:p>
    <w:p>
      <w:pPr>
        <w:pStyle w:val="ListBullet"/>
      </w:pPr>
      <w:r>
        <w:t>Confirm or override each document's AI verdict (Compliant / Non-Compliant)</w:t>
      </w:r>
    </w:p>
    <w:p>
      <w:pPr>
        <w:pStyle w:val="ListBullet"/>
      </w:pPr>
      <w:r>
        <w:t>Confirm the supplier's overall risk tier</w:t>
      </w:r>
    </w:p>
    <w:p>
      <w:pPr>
        <w:pStyle w:val="ListBullet"/>
      </w:pPr>
      <w:r>
        <w:t>Send a case back to Procurement, or close it (onboard the supplier)</w:t>
      </w:r>
    </w:p>
    <w:p>
      <w:pPr>
        <w:pStyle w:val="ListBullet"/>
      </w:pPr>
      <w:r>
        <w:t>Use the GRACE co-pilot for supplier Q&amp;A</w:t>
      </w:r>
    </w:p>
    <w:p>
      <w:r>
        <w:br w:type="page"/>
      </w:r>
    </w:p>
    <w:p>
      <w:pPr>
        <w:pStyle w:val="Heading1"/>
      </w:pPr>
      <w:r>
        <w:rPr>
          <w:color w:val="03234B"/>
        </w:rPr>
        <w:t>Section 4 — Verification Checklist</w:t>
      </w:r>
    </w:p>
    <w:p>
      <w:r>
        <w:rPr>
          <w:b w:val="0"/>
          <w:i w:val="0"/>
          <w:sz w:val="22"/>
        </w:rPr>
        <w:t>Run through this checklist after completing Sections 1–3, using one test user per persona, before rolling out broadly.</w:t>
      </w:r>
    </w:p>
    <w:tbl>
      <w:tblPr>
        <w:tblStyle w:val="LightGrid-Accent1"/>
        <w:tblW w:type="auto" w:w="0"/>
        <w:jc w:val="left"/>
        <w:tblLook w:firstColumn="1" w:firstRow="1" w:lastColumn="0" w:lastRow="0" w:noHBand="0" w:noVBand="1" w:val="04A0"/>
      </w:tblPr>
      <w:tblGrid>
        <w:gridCol w:w="2880"/>
        <w:gridCol w:w="2880"/>
        <w:gridCol w:w="2880"/>
      </w:tblGrid>
      <w:tr>
        <w:tc>
          <w:tcPr>
            <w:tcW w:type="dxa" w:w="576"/>
            <w:shd w:val="clear" w:color="auto" w:fill="03234B"/>
          </w:tcPr>
          <w:p>
            <w:r/>
            <w:r>
              <w:rPr>
                <w:b/>
                <w:color w:val="FFFFFF"/>
                <w:sz w:val="20"/>
              </w:rPr>
              <w:t>#</w:t>
            </w:r>
          </w:p>
        </w:tc>
        <w:tc>
          <w:tcPr>
            <w:tcW w:type="dxa" w:w="4320"/>
            <w:shd w:val="clear" w:color="auto" w:fill="03234B"/>
          </w:tcPr>
          <w:p>
            <w:r/>
            <w:r>
              <w:rPr>
                <w:b/>
                <w:color w:val="FFFFFF"/>
                <w:sz w:val="20"/>
              </w:rPr>
              <w:t>Check</w:t>
            </w:r>
          </w:p>
        </w:tc>
        <w:tc>
          <w:tcPr>
            <w:tcW w:type="dxa" w:w="4608"/>
            <w:shd w:val="clear" w:color="auto" w:fill="03234B"/>
          </w:tcPr>
          <w:p>
            <w:r/>
            <w:r>
              <w:rPr>
                <w:b/>
                <w:color w:val="FFFFFF"/>
                <w:sz w:val="20"/>
              </w:rPr>
              <w:t>Expected result</w:t>
            </w:r>
          </w:p>
        </w:tc>
      </w:tr>
      <w:tr>
        <w:tc>
          <w:tcPr>
            <w:tcW w:type="dxa" w:w="576"/>
          </w:tcPr>
          <w:p>
            <w:r/>
            <w:r>
              <w:rPr>
                <w:sz w:val="20"/>
              </w:rPr>
              <w:t>1</w:t>
            </w:r>
          </w:p>
        </w:tc>
        <w:tc>
          <w:tcPr>
            <w:tcW w:type="dxa" w:w="4320"/>
          </w:tcPr>
          <w:p>
            <w:r/>
            <w:r>
              <w:rPr>
                <w:sz w:val="20"/>
              </w:rPr>
              <w:t>Admin: open Vendor GRACE app</w:t>
            </w:r>
          </w:p>
        </w:tc>
        <w:tc>
          <w:tcPr>
            <w:tcW w:type="dxa" w:w="4608"/>
          </w:tcPr>
          <w:p>
            <w:r/>
            <w:r>
              <w:rPr>
                <w:sz w:val="20"/>
              </w:rPr>
              <w:t>App loads, all tabs visible per Section 1.6</w:t>
            </w:r>
          </w:p>
        </w:tc>
      </w:tr>
      <w:tr>
        <w:tc>
          <w:tcPr>
            <w:tcW w:type="dxa" w:w="576"/>
          </w:tcPr>
          <w:p>
            <w:r/>
            <w:r>
              <w:rPr>
                <w:sz w:val="20"/>
              </w:rPr>
              <w:t>2</w:t>
            </w:r>
          </w:p>
        </w:tc>
        <w:tc>
          <w:tcPr>
            <w:tcW w:type="dxa" w:w="4320"/>
          </w:tcPr>
          <w:p>
            <w:r/>
            <w:r>
              <w:rPr>
                <w:sz w:val="20"/>
              </w:rPr>
              <w:t>Admin: create a test Account and generate a checklist</w:t>
            </w:r>
          </w:p>
        </w:tc>
        <w:tc>
          <w:tcPr>
            <w:tcW w:type="dxa" w:w="4608"/>
          </w:tcPr>
          <w:p>
            <w:r/>
            <w:r>
              <w:rPr>
                <w:sz w:val="20"/>
              </w:rPr>
              <w:t>Checklist generates without error (confirms Named Credential + engine connectivity)</w:t>
            </w:r>
          </w:p>
        </w:tc>
      </w:tr>
      <w:tr>
        <w:tc>
          <w:tcPr>
            <w:tcW w:type="dxa" w:w="576"/>
          </w:tcPr>
          <w:p>
            <w:r/>
            <w:r>
              <w:rPr>
                <w:sz w:val="20"/>
              </w:rPr>
              <w:t>3</w:t>
            </w:r>
          </w:p>
        </w:tc>
        <w:tc>
          <w:tcPr>
            <w:tcW w:type="dxa" w:w="4320"/>
          </w:tcPr>
          <w:p>
            <w:r/>
            <w:r>
              <w:rPr>
                <w:sz w:val="20"/>
              </w:rPr>
              <w:t>Procurement test user: log in</w:t>
            </w:r>
          </w:p>
        </w:tc>
        <w:tc>
          <w:tcPr>
            <w:tcW w:type="dxa" w:w="4608"/>
          </w:tcPr>
          <w:p>
            <w:r/>
            <w:r>
              <w:rPr>
                <w:sz w:val="20"/>
              </w:rPr>
              <w:t>Sees Compliance Console, Policy Documents, Intelligence Dashboard tabs</w:t>
            </w:r>
          </w:p>
        </w:tc>
      </w:tr>
      <w:tr>
        <w:tc>
          <w:tcPr>
            <w:tcW w:type="dxa" w:w="576"/>
          </w:tcPr>
          <w:p>
            <w:r/>
            <w:r>
              <w:rPr>
                <w:sz w:val="20"/>
              </w:rPr>
              <w:t>4</w:t>
            </w:r>
          </w:p>
        </w:tc>
        <w:tc>
          <w:tcPr>
            <w:tcW w:type="dxa" w:w="4320"/>
          </w:tcPr>
          <w:p>
            <w:r/>
            <w:r>
              <w:rPr>
                <w:sz w:val="20"/>
              </w:rPr>
              <w:t>Procurement test user: open a supplier, approve a test document</w:t>
            </w:r>
          </w:p>
        </w:tc>
        <w:tc>
          <w:tcPr>
            <w:tcW w:type="dxa" w:w="4608"/>
          </w:tcPr>
          <w:p>
            <w:r/>
            <w:r>
              <w:rPr>
                <w:sz w:val="20"/>
              </w:rPr>
              <w:t>Decision saves, compliance score updates</w:t>
            </w:r>
          </w:p>
        </w:tc>
      </w:tr>
      <w:tr>
        <w:tc>
          <w:tcPr>
            <w:tcW w:type="dxa" w:w="576"/>
          </w:tcPr>
          <w:p>
            <w:r/>
            <w:r>
              <w:rPr>
                <w:sz w:val="20"/>
              </w:rPr>
              <w:t>5</w:t>
            </w:r>
          </w:p>
        </w:tc>
        <w:tc>
          <w:tcPr>
            <w:tcW w:type="dxa" w:w="4320"/>
          </w:tcPr>
          <w:p>
            <w:r/>
            <w:r>
              <w:rPr>
                <w:sz w:val="20"/>
              </w:rPr>
              <w:t>Analyst test user: log in</w:t>
            </w:r>
          </w:p>
        </w:tc>
        <w:tc>
          <w:tcPr>
            <w:tcW w:type="dxa" w:w="4608"/>
          </w:tcPr>
          <w:p>
            <w:r/>
            <w:r>
              <w:rPr>
                <w:sz w:val="20"/>
              </w:rPr>
              <w:t>Sees Compliance Console (Analyst view), Intelligence Dashboard — NOT Policy Documents</w:t>
            </w:r>
          </w:p>
        </w:tc>
      </w:tr>
      <w:tr>
        <w:tc>
          <w:tcPr>
            <w:tcW w:type="dxa" w:w="576"/>
          </w:tcPr>
          <w:p>
            <w:r/>
            <w:r>
              <w:rPr>
                <w:sz w:val="20"/>
              </w:rPr>
              <w:t>6</w:t>
            </w:r>
          </w:p>
        </w:tc>
        <w:tc>
          <w:tcPr>
            <w:tcW w:type="dxa" w:w="4320"/>
          </w:tcPr>
          <w:p>
            <w:r/>
            <w:r>
              <w:rPr>
                <w:sz w:val="20"/>
              </w:rPr>
              <w:t>Analyst test user: open a handed-off case</w:t>
            </w:r>
          </w:p>
        </w:tc>
        <w:tc>
          <w:tcPr>
            <w:tcW w:type="dxa" w:w="4608"/>
          </w:tcPr>
          <w:p>
            <w:r/>
            <w:r>
              <w:rPr>
                <w:sz w:val="20"/>
              </w:rPr>
              <w:t>Case loads with documents, GRACE co-pilot responds to a question</w:t>
            </w:r>
          </w:p>
        </w:tc>
      </w:tr>
      <w:tr>
        <w:tc>
          <w:tcPr>
            <w:tcW w:type="dxa" w:w="576"/>
          </w:tcPr>
          <w:p>
            <w:r/>
            <w:r>
              <w:rPr>
                <w:sz w:val="20"/>
              </w:rPr>
              <w:t>7</w:t>
            </w:r>
          </w:p>
        </w:tc>
        <w:tc>
          <w:tcPr>
            <w:tcW w:type="dxa" w:w="4320"/>
          </w:tcPr>
          <w:p>
            <w:r/>
            <w:r>
              <w:rPr>
                <w:sz w:val="20"/>
              </w:rPr>
              <w:t>(If using Supplier Portal) Guest user: upload and remove a document</w:t>
            </w:r>
          </w:p>
        </w:tc>
        <w:tc>
          <w:tcPr>
            <w:tcW w:type="dxa" w:w="4608"/>
          </w:tcPr>
          <w:p>
            <w:r/>
            <w:r>
              <w:rPr>
                <w:sz w:val="20"/>
              </w:rPr>
              <w:t>Both succeed — if removal fails, revisit Section 1.7</w:t>
            </w:r>
          </w:p>
        </w:tc>
      </w:tr>
    </w:tbl>
    <w:p/>
    <w:p>
      <w:r>
        <w:br w:type="page"/>
      </w:r>
    </w:p>
    <w:p>
      <w:pPr>
        <w:pStyle w:val="Heading1"/>
      </w:pPr>
      <w:r>
        <w:rPr>
          <w:color w:val="03234B"/>
        </w:rPr>
        <w:t>Appendix — Why These Manual Steps Exist</w:t>
      </w:r>
    </w:p>
    <w:p>
      <w:r>
        <w:rPr>
          <w:b w:val="0"/>
          <w:i w:val="0"/>
          <w:sz w:val="22"/>
        </w:rPr>
        <w:t>Two of the steps above (1.4 and 1.5) are not oversights — they exist because of hard Salesforce 2GP packaging constraints discovered and root-caused during package creation. Documenting the “why” here so this doesn't get miscategorized as a bug in a future review.</w:t>
      </w:r>
    </w:p>
    <w:p>
      <w:pPr>
        <w:pStyle w:val="Heading3"/>
      </w:pPr>
      <w:r>
        <w:rPr>
          <w:color w:val="182335"/>
        </w:rPr>
        <w:t>External Credential Principal access (Step 1.4)</w:t>
      </w:r>
    </w:p>
    <w:p>
      <w:r>
        <w:rPr>
          <w:b w:val="0"/>
          <w:i w:val="0"/>
          <w:sz w:val="22"/>
        </w:rPr>
        <w:t>A 2GP package version's single-pass validation cannot resolve a Permission Set's reference to an External Credential Principal, even when the External Credential itself deploys successfully in the same transaction. This is a confirmed, unresolved Salesforce platform limitation (forcedotcom/cli GitHub issue #1781, labeled “investigating” / “owned by another team” as of this writing). It works fine as an ordinary incremental deploy — only package-version creation's from-scratch validation hits it.</w:t>
      </w:r>
    </w:p>
    <w:p>
      <w:pPr>
        <w:pStyle w:val="Heading3"/>
      </w:pPr>
      <w:r>
        <w:rPr>
          <w:color w:val="182335"/>
        </w:rPr>
        <w:t>Profile-level object access for Compliance_Assessment__c (Step 1.5)</w:t>
      </w:r>
    </w:p>
    <w:p>
      <w:r>
        <w:rPr>
          <w:b w:val="0"/>
          <w:i w:val="0"/>
          <w:sz w:val="22"/>
        </w:rPr>
        <w:t>Compliance_Assessment__c has a Master-Detail relationship to the standard Account object. Salesforce categorically disallows any packaged Permission Set from granting object or field permissions on a custom object with a Master-Detail relationship to a standard object — confirmed via a real package version creation error (“references Compliance Assessment that has M-D relationship with Account”) and corroborated by Salesforce's own IdeaExchange and ISV community reports. Access to these objects must always come from the subscriber org's own Profile.</w:t>
      </w:r>
    </w:p>
    <w:p>
      <w:r>
        <w:br w:type="page"/>
      </w:r>
    </w:p>
    <w:p>
      <w:r>
        <w:rPr>
          <w:color w:val="4B5A70"/>
          <w:sz w:val="18"/>
        </w:rPr>
        <w:t>Vendor GRACE — Post-Installation Setup Guide v1.0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3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