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lastRenderedPageBreak/>
        <w:t>Abstract</w:t>
      </w:r>
    </w:p>
    <w:p w14:paraId="427F30E6" w14:textId="4579ABAB"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using three effective kinetic parameters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of the same order of magnitude as 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low-dimensional,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lastRenderedPageBreak/>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lastRenderedPageBreak/>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lastRenderedPageBreak/>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lastRenderedPageBreak/>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3006456"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xml:space="preserve">. (a) Reaction–diffusion model coupling species transport and corrosion-product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w:t>
      </w:r>
      <w:proofErr w:type="spellStart"/>
      <w:r w:rsidRPr="001A2EB4">
        <w:rPr>
          <w:rFonts w:cs="Times New Roman"/>
        </w:rPr>
        <w:t>lished</w:t>
      </w:r>
      <w:proofErr w:type="spellEnd"/>
      <w:r w:rsidRPr="001A2EB4">
        <w:rPr>
          <w:rFonts w:cs="Times New Roman"/>
        </w:rPr>
        <w:t xml:space="preserve"> specimens were </w:t>
      </w:r>
      <w:r w:rsidRPr="001A2EB4">
        <w:rPr>
          <w:rFonts w:cs="Times New Roman"/>
        </w:rPr>
        <w:lastRenderedPageBreak/>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37693820" w:rsidR="00E54A50" w:rsidRPr="001A2EB4" w:rsidRDefault="00E55EDE" w:rsidP="00E54A50">
      <w:pPr>
        <w:pStyle w:val="BodyText"/>
        <w:ind w:firstLine="0"/>
        <w:rPr>
          <w:rFonts w:cs="Times New Roman"/>
        </w:rPr>
      </w:pPr>
      <w:r w:rsidRPr="001A2EB4">
        <w:rPr>
          <w:rFonts w:cs="Times New Roman"/>
        </w:rPr>
        <w:lastRenderedPageBreak/>
        <w:t xml:space="preserve">Overall degradation </w:t>
      </w:r>
      <w:r w:rsidR="00E54A50" w:rsidRPr="001A2EB4">
        <w:rPr>
          <w:rFonts w:cs="Times New Roman"/>
        </w:rPr>
        <w:t xml:space="preserve">therefore results from a dynamic balance between ORR-driven passivation and chloride-mediated corrosion-product 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BC506D" w:rsidRPr="001A2EB4">
        <w:rPr>
          <w:rFonts w:cs="Times New Roman"/>
        </w:rPr>
        <w:t xml:space="preserve">, </w:t>
      </w:r>
      <w:proofErr w:type="spellStart"/>
      <w:proofErr w:type="spellEnd"/>
      <w:r w:rsidR="00BC506D" w:rsidRPr="001A2EB4">
        <w:rPr>
          <w:rFonts w:cs="Times New Roman"/>
        </w:rPr>
        <w:t xml:space="preserve">the corrosion products are modeled as a single ZnO phase</w:t>
      </w:r>
      <w:proofErr w:type="spellStart"/>
      <w:r w:rsidR="00BC506D" w:rsidRPr="001A2EB4">
        <w:rPr>
          <w:rFonts w:cs="Times New Roman"/>
        </w:rPr>
        <w:t xml:space="preserve"/>
      </w:r>
      <w:proofErr w:type="spellEnd"/>
      <w:r w:rsidR="00BC506D" w:rsidRPr="001A2EB4">
        <w:rPr>
          <w:rFonts w:cs="Times New Roman"/>
        </w:rPr>
        <w:t xml:space="preserv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1481DF0D"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corrosion-product formation, and chloride-induced dissolution, (</w:t>
      </w:r>
      <w:r w:rsidR="00C10022" w:rsidRPr="001A2EB4">
        <w:t>b</w:t>
      </w:r>
      <w:r w:rsidR="00246AE0" w:rsidRPr="001A2EB4">
        <w:t xml:space="preserve">)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w:t>
      </w:r>
      <w:r w:rsidR="00B3641C" w:rsidRPr="001A2EB4">
        <w:rPr>
          <w:rFonts w:cs="Times New Roman"/>
        </w:rPr>
        <w:lastRenderedPageBreak/>
        <w:t xml:space="preserve">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6831A5"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5F8D3BE4"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 xml:space="preserve">the corrosion-product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6831A5"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5CA03B96"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corrosion-product dissolution rather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6831A5"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38CB2093"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ZnO-based corrosion products.</w:t>
      </w:r>
      <w:proofErr w:type="spellStart"/>
      <w:r w:rsidR="007567C8" w:rsidRPr="007567C8">
        <w:rPr>
          <w:rFonts w:cs="Times New Roman"/>
        </w:rPr>
        <w:t xml:space="preserve"/>
      </w:r>
      <w:proofErr w:type="spellEnd"/>
      <w:r w:rsidR="007567C8" w:rsidRPr="007567C8">
        <w:rPr>
          <w:rFonts w:cs="Times New Roman"/>
        </w:rPr>
        <w:t xml:space="preserve"/>
      </w:r>
      <w:r w:rsidR="009F4B7F" w:rsidRPr="001A2EB4">
        <w:rPr>
          <w:rFonts w:cs="Times New Roman"/>
        </w:rPr>
        <w:t xml:space="preserve"> At the same time, chloride-induced corrosion-product dissolution releases hydroxide back into the electrolyte</w:t>
      </w:r>
      <w:r w:rsidR="009F4B7F">
        <w:rPr>
          <w:rFonts w:cs="Times New Roman"/>
        </w:rPr>
        <w:t>.</w:t>
      </w:r>
    </w:p>
    <w:p w14:paraId="24B0774D" w14:textId="23E1B49B" w:rsidR="00424107" w:rsidRDefault="006831A5"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6831A5"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09FE806A" w:rsidR="00097CCF" w:rsidRPr="001A2EB4" w:rsidRDefault="007879E5" w:rsidP="00097CCF">
      <w:pPr>
        <w:pStyle w:val="BodyText"/>
        <w:ind w:firstLine="0"/>
      </w:pPr>
      <w:r w:rsidRPr="001A2EB4">
        <w:lastRenderedPageBreak/>
        <w:t xml:space="preserve">Here, the corrosion-product field</w:t>
      </w:r>
      <w:r w:rsidR="00F94D95" w:rsidRPr="001A2EB4">
        <w:t xml:space="preserve"/>
      </w:r>
      <w:r w:rsidRPr="001A2EB4">
        <w:t xml:space="preserve"/>
      </w:r>
      <w:r w:rsidR="00097CCF" w:rsidRPr="001A2EB4">
        <w:t xml:space="preserve"/>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6831A5"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14FD1756" w:rsidR="00097CCF" w:rsidRPr="001A2EB4" w:rsidRDefault="00097CCF" w:rsidP="00097CCF">
      <w:pPr>
        <w:pStyle w:val="BodyText"/>
        <w:ind w:firstLine="0"/>
        <w:rPr>
          <w:rFonts w:cs="Times New Roman"/>
        </w:rPr>
      </w:pPr>
      <w:r w:rsidRPr="001A2EB4">
        <w:t xml:space="preserve">The corrosion-product field is a homogenized, volumetric concentration field: it is not confined to the metal surface, and it reduces the local diffusivity as described below.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corrosion-product concentration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corrosion products accumulate, they impede 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6831A5"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13A6A2CA"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corrosion-product region's 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6831A5"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lastRenderedPageBreak/>
        <w:t xml:space="preserve">where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oMath>
      <w:r w:rsidRPr="001A2EB4">
        <w:rPr>
          <w:rFonts w:cs="Times New Roman"/>
        </w:rPr>
        <w:t xml:space="preserve"> is the solid molar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6831A5"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1B8A69D0"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a 30 × 30 × 30 mm electrolyte domain, identical for the disc and the stent and larger than three times the implant characteristic dimension in each direction,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2218C39E" w:rsidR="00D26518" w:rsidRPr="001A2EB4" w:rsidRDefault="00D26518" w:rsidP="00D26518">
      <w:pPr>
        <w:pStyle w:val="BodyText"/>
      </w:pPr>
      <w:r w:rsidRPr="001A2EB4">
        <w:t xml:space="preserve">Physiological initial and boundary conditions were imposed throughout the electrolyte domain, including continuous oxygen replenishment at the electrolyte-air interface and kinetic flux conditions at the moving metal-electrolyte boundary. The 48 h medium renewal used in the immersion tests was not modeled explicitly; instead, dissolved oxygen was assumed to be continuously replenished at the electrolyte–air interface, no natural convection was considered (static conditions), and Zn²⁺ accumulation was not reset. Simulations were executed in parallel using </w:t>
      </w:r>
      <w:proofErr w:type="spellStart"/>
      <w:r w:rsidRPr="001A2EB4">
        <w:t>FreeFEM</w:t>
      </w:r>
      <w:proofErr w:type="spellEnd"/>
      <w:r w:rsidRPr="001A2EB4">
        <w:t xml:space="preserve">++ MPI on a high-performance computing cluster, and degradation metrics </w:t>
      </w:r>
      <w:r w:rsidRPr="001A2EB4">
        <w:lastRenderedPageBreak/>
        <w:t>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corrosion-product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xml:space="preserve">), while spatial distributions of oxygen concentration and corrosion-product fields</w:t>
      </w:r>
      <w:r w:rsidR="00C500E2" w:rsidRPr="001A2EB4">
        <w:t xml:space="preserve"/>
      </w:r>
      <w:r w:rsidR="00780FF0" w:rsidRPr="001A2EB4">
        <w:t xml:space="preserve">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1"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1"/>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6831A5"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6831A5"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6831A5"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6831A5"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6831A5"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6831A5"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6831A5"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lastRenderedPageBreak/>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508ACDA5"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xml:space="preserve">. Each parameter was varied across representative values while the remaining parameters were held constant. The resulting changes in mass loss, corrosion-product saturation (F/Fₘₐₓ)</w:t>
      </w:r>
      <w:proofErr w:type="spellStart"/>
      <w:r w:rsidRPr="001A2EB4">
        <w:t xml:space="preserve"/>
      </w:r>
      <w:proofErr w:type="spellEnd"/>
      <w:r w:rsidRPr="001A2EB4">
        <w:t xml:space="preserve">, and interfacial oxygen concentration were analyzed to </w:t>
      </w:r>
      <w:r w:rsidR="00952D2B" w:rsidRPr="001A2EB4">
        <w:t>investigate</w:t>
      </w:r>
      <w:r w:rsidRPr="001A2EB4">
        <w:t xml:space="preserve"> the roles of passivation, corrosion-product 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geometry-dependent degradation, spatial distributions of oxygen concentration, corrosion-</w:t>
      </w:r>
      <w:r w:rsidR="00B2686D" w:rsidRPr="001A2EB4">
        <w:lastRenderedPageBreak/>
        <w:t>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0F047176" w:rsidR="000631D6" w:rsidRPr="001A2EB4" w:rsidRDefault="000631D6" w:rsidP="000631D6">
      <w:pPr>
        <w:pStyle w:val="FirstParagraph"/>
        <w:ind w:firstLine="360"/>
        <w:rPr>
          <w:rFonts w:cs="Times New Roman"/>
        </w:rPr>
      </w:pPr>
      <w:bookmarkStart w:id="12"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corrosion-product 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corrosion-product 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w:t>
      </w:r>
      <w:proofErr w:type="spellStart"/>
      <w:r w:rsidRPr="001A2EB4">
        <w:rPr>
          <w:rFonts w:cs="Times New Roman"/>
        </w:rPr>
        <w:t>tivity</w:t>
      </w:r>
      <w:proofErr w:type="spellEnd"/>
      <w:r w:rsidRPr="001A2EB4">
        <w:rPr>
          <w:rFonts w:cs="Times New Roman"/>
        </w:rPr>
        <w:t xml:space="preserve">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D037A24"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2% against the calibration dataset. These results show that the proposed three-parameter framework can closely reproduce the calibration measurements. The combination of low calibration error and rapid convergence supports the framework’s potential as a basis for predictive Zn biodegradation modeling, subject to independent validation.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lastRenderedPageBreak/>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3"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3"/>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4" w:name="_Ref238636197"/>
      <w:bookmarkStart w:id="15"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4"/>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6831A5"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6831A5"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6831A5"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bookmarkEnd w:id="15"/>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A69AD8" w:rsidR="00F10625" w:rsidRPr="001A2EB4" w:rsidRDefault="0058436A" w:rsidP="00124B18">
      <w:pPr>
        <w:pStyle w:val="BodyText"/>
      </w:pPr>
      <w:r w:rsidRPr="0058436A">
        <w:t xml:space="preserve">The associated corrosion-product saturation 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corrosion-product growth term, resulting in faster corrosion-product accumulation and greater 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corrosion-product dissolution term, reducing corrosion-product retention and leading to lower corrosion-product saturation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corrosion-product saturation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lastRenderedPageBreak/>
        <w:t xml:space="preserve">because oxygen reduction influences corrosion-product 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corrosion-product formation and dissolution, making corrosion-product saturation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4F36E169"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corrosion-product saturation,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 xml:space="preserve">produced lower interfacial oxygen concentrations because the accumulated corrosion products 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corrosion-product saturation.</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34B046F8" w:rsidR="000631D6" w:rsidRPr="001A2EB4" w:rsidRDefault="00FE3D90" w:rsidP="000631D6">
      <w:pPr>
        <w:keepNext/>
        <w:jc w:val="center"/>
      </w:pPr>
      <w:r w:rsidRPr="001A2EB4">
        <w:rPr>
          <w:noProof/>
        </w:rPr>
        <w:lastRenderedPageBreak/>
        <w:drawing>
          <wp:inline distT="0" distB="0" distL="0" distR="0" wp14:anchorId="699F662B" wp14:editId="0F1366E4">
            <wp:extent cx="5760720" cy="45612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7D08170E" w:rsidR="000631D6" w:rsidRPr="001A2EB4" w:rsidRDefault="000631D6" w:rsidP="000631D6">
      <w:pPr>
        <w:pStyle w:val="Captions"/>
        <w:rPr>
          <w:rFonts w:cs="Times New Roman"/>
        </w:rPr>
      </w:pPr>
      <w:bookmarkStart w:id="16"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6"/>
      <w:r w:rsidRPr="001A2EB4">
        <w:rPr>
          <w:b/>
          <w:bCs/>
        </w:rPr>
        <w:t>.</w:t>
      </w:r>
      <w:r w:rsidRPr="001A2EB4">
        <w:t xml:space="preserve"> Local parameter sweeps of kinetic parameters. Panels (a–c) show cumulative mass loss (%), panels (d–f) show the normalized corrosion-product saturation, F/Fₘₐₓ (%), and panels (g–i)</w:t>
      </w:r>
      <w:proofErr w:type="spellStart"/>
      <w:r w:rsidRPr="001A2EB4">
        <w:t xml:space="preserve"/>
      </w:r>
      <w:proofErr w:type="spellEnd"/>
      <w:r w:rsidRPr="001A2EB4">
        <w:t xml:space="preserve">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2"/>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17" w:name="_Ref238632622"/>
      <w:bookmarkStart w:id="18" w:name="_Ref240375786"/>
      <w:r w:rsidRPr="001A2EB4">
        <w:rPr>
          <w:b/>
          <w:bCs/>
        </w:rPr>
        <w:lastRenderedPageBreak/>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17"/>
      <w:bookmarkEnd w:id="18"/>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4AEEF4DC"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an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4ED37C02"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diffuse corrosion-product accumulation by 168 h and developing into a homogenized corrosion-product 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near-surface corrosion-product field developed,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corrosion-product-induced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lastRenderedPageBreak/>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19"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19"/>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1112F087"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literature measurements</w:t>
      </w:r>
      <w:r w:rsidR="00CF36DC" w:rsidRPr="001A2EB4">
        <w:rPr>
          <w:rFonts w:cs="Times New Roman"/>
        </w:rPr>
        <w:t xml:space="preserve"/>
      </w:r>
      <w:r w:rsidRPr="001A2EB4">
        <w:rPr>
          <w:rFonts w:cs="Times New Roman"/>
        </w:rPr>
        <w:t xml:space="preserve">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w:t>
      </w:r>
      <w:proofErr w:type="spellStart"/>
      <w:r w:rsidRPr="001A2EB4">
        <w:rPr>
          <w:rFonts w:cs="Times New Roman"/>
        </w:rPr>
        <w:t>lution</w:t>
      </w:r>
      <w:proofErr w:type="spellEnd"/>
      <w:r w:rsidRPr="001A2EB4">
        <w:rPr>
          <w:rFonts w:cs="Times New Roman"/>
        </w:rPr>
        <w:t xml:space="preserve">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xml:space="preserve">, the model reproduced the overall evolution of both quantities, capturing the rapid initial increase followed by a gradual plateau, with errors at 336 h of 44% for Zn²⁺ and 2.8% for pH</w:t>
      </w:r>
      <w:r w:rsidR="009F6828">
        <w:rPr>
          <w:rFonts w:cs="Times New Roman"/>
        </w:rPr>
        <w:t xml:space="preserve"/>
      </w:r>
      <w:r w:rsidR="009F6828" w:rsidRPr="009F6828">
        <w:rPr>
          <w:rFonts w:cs="Times New Roman"/>
        </w:rPr>
        <w:t xml:space="preserve"/>
      </w:r>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reaction terms. </w:t>
      </w:r>
      <w:r w:rsidRPr="001A2EB4">
        <w:rPr>
          <w:rFonts w:cs="Times New Roman"/>
        </w:rPr>
        <w:t xml:space="preserve">The </w:t>
      </w:r>
      <w:r w:rsidRPr="001A2EB4">
        <w:rPr>
          <w:rFonts w:cs="Times New Roman"/>
        </w:rPr>
        <w:lastRenderedPageBreak/>
        <w:t>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lastRenderedPageBreak/>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0"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0"/>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lastRenderedPageBreak/>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1"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2"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2"/>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lastRenderedPageBreak/>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140A1C99"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 xml:space="preserve">penetration depths varied only slightly, ranging from approximately 2.4 to 2.7 µm across the curved-wire configurations (30°, 90°, and 150° arcs) and from 2.1 to 2.4 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lastRenderedPageBreak/>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3"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3"/>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5F66D5CB" w:rsidR="005757F6" w:rsidRDefault="00711ECD" w:rsidP="005757F6">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 xml:space="preserve">The corrosion products are treated as a homogenized ZnO-based field rather than a discrete surface film or a heterogeneous, composition-dependent structure. The dissolved oxygen concentration (3.5 mg L⁻¹) was taken from literature values for body fluids and was not measured in the immersion experiments; because it is strongly coupled to the ORR rate coefficient, the calibrated k_ORR should be regarded as an effective parameter that may also absorb uncertainty in the oxygen supply.</w:t>
      </w:r>
      <w:r w:rsidR="005757F6" w:rsidRPr="005757F6">
        <w:t xml:space="preserve"/>
      </w:r>
      <w:proofErr w:type="spellStart"/>
      <w:r w:rsidR="005757F6" w:rsidRPr="005757F6">
        <w:t xml:space="preserve"/>
      </w:r>
      <w:proofErr w:type="spellEnd"/>
      <w:r w:rsidR="005757F6" w:rsidRPr="005757F6">
        <w:t xml:space="preserve"/>
      </w:r>
      <w:r w:rsidR="005757F6">
        <w:t xml:space="preserve"> </w:t>
      </w:r>
      <w:r w:rsidR="005757F6" w:rsidRPr="005757F6">
        <w:t xml:space="preserve">Secondary phosphate-, carbonate-, and calcium-containing phases that may develop over longer periods are therefore not explicitly resolved. 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w:t>
      </w:r>
      <w:r w:rsidR="005757F6" w:rsidRPr="005757F6">
        <w:lastRenderedPageBreak/>
        <w:t>product coverage, oxygen availability, and local penetration is therefore required, particularly for complex implant geometries.</w:t>
      </w:r>
    </w:p>
    <w:p w14:paraId="3414BFB8" w14:textId="7C2437F3" w:rsidR="002E4C03" w:rsidRDefault="005757F6" w:rsidP="005757F6">
      <w:pPr>
        <w:pStyle w:val="BodyText"/>
      </w:pPr>
      <w:r w:rsidRPr="005757F6">
        <w:t>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high-fidelity simulations remain computationally demanding (about 69 h on 50–64 cores for a 672 h simulation on a 19–21 million-element mesh; Table S4),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Pr="001A2EB4" w:rsidRDefault="00E26AAF" w:rsidP="00711ECD">
      <w:pPr>
        <w:pStyle w:val="BodyText"/>
        <w:ind w:firstLine="0"/>
      </w:pPr>
    </w:p>
    <w:bookmarkEnd w:id="21"/>
    <w:p w14:paraId="516B3B1A" w14:textId="77777777" w:rsidR="000631D6" w:rsidRPr="001A2EB4" w:rsidRDefault="000631D6" w:rsidP="000631D6">
      <w:pPr>
        <w:pStyle w:val="Heading1"/>
      </w:pPr>
      <w:r w:rsidRPr="001A2EB4">
        <w:t>Conclusions</w:t>
      </w:r>
    </w:p>
    <w:p w14:paraId="0E48EE87" w14:textId="2AC13B6F" w:rsidR="00C5098B" w:rsidRDefault="005B5344" w:rsidP="0063546E">
      <w:pPr>
        <w:pStyle w:val="BodyText"/>
      </w:pPr>
      <w:bookmarkStart w:id="24"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for a six-crown stent, of the same order of magnitude as reported </w:t>
      </w:r>
      <w:r w:rsidRPr="00E45D7F">
        <w:rPr>
          <w:i/>
          <w:iCs/>
        </w:rPr>
        <w:t>in vivo</w:t>
      </w:r>
      <w:r w:rsidRPr="005B5344">
        <w:t xml:space="preserve"> observations. Mechanistic and sensitivity analyses identified oxygen availability as the primary driver of degradation, with corrosion-product accumulation progressively restricting transport </w:t>
      </w:r>
      <w:r w:rsidRPr="005B5344">
        <w:lastRenderedPageBreak/>
        <w:t>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4"/>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lastRenderedPageBreak/>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lastRenderedPageBreak/>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w:t>
      </w:r>
      <w:proofErr w:type="spellStart"/>
      <w:r w:rsidRPr="00CE255A">
        <w:t>Shearier</w:t>
      </w:r>
      <w:proofErr w:type="spellEnd"/>
      <w:r w:rsidRPr="00CE255A">
        <w:t xml:space="preserve">,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w:t>
      </w:r>
      <w:proofErr w:type="spellStart"/>
      <w:r w:rsidRPr="00CE255A">
        <w:t>Atrens</w:t>
      </w:r>
      <w:proofErr w:type="spellEnd"/>
      <w:r w:rsidRPr="00CE255A">
        <w:t xml:space="preserve">, G. Song, M. Liu, Z. Shi, F. Cao, and M. S. </w:t>
      </w:r>
      <w:proofErr w:type="spellStart"/>
      <w:r w:rsidRPr="00CE255A">
        <w:t>Dargusch</w:t>
      </w:r>
      <w:proofErr w:type="spellEnd"/>
      <w:r w:rsidRPr="00CE255A">
        <w:t xml:space="preserve">,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w:t>
      </w:r>
      <w:proofErr w:type="spellStart"/>
      <w:r w:rsidRPr="00CE255A">
        <w:t>Katarivas</w:t>
      </w:r>
      <w:proofErr w:type="spellEnd"/>
      <w:r w:rsidRPr="00CE255A">
        <w:t xml:space="preserve">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w:t>
      </w:r>
      <w:proofErr w:type="spellStart"/>
      <w:r w:rsidRPr="00CE255A">
        <w:t>Vojtěch</w:t>
      </w:r>
      <w:proofErr w:type="spellEnd"/>
      <w:r w:rsidRPr="00CE255A">
        <w:t xml:space="preserve">, J. </w:t>
      </w:r>
      <w:proofErr w:type="spellStart"/>
      <w:r w:rsidRPr="00CE255A">
        <w:t>Kubásek</w:t>
      </w:r>
      <w:proofErr w:type="spellEnd"/>
      <w:r w:rsidRPr="00CE255A">
        <w:t xml:space="preserve">, J. </w:t>
      </w:r>
      <w:proofErr w:type="spellStart"/>
      <w:r w:rsidRPr="00CE255A">
        <w:t>Šerák</w:t>
      </w:r>
      <w:proofErr w:type="spellEnd"/>
      <w:r w:rsidRPr="00CE255A">
        <w:t xml:space="preserve">, and P. </w:t>
      </w:r>
      <w:proofErr w:type="spellStart"/>
      <w:r w:rsidRPr="00CE255A">
        <w:t>Novák</w:t>
      </w:r>
      <w:proofErr w:type="spellEnd"/>
      <w:r w:rsidRPr="00CE255A">
        <w:t xml:space="preserve">, “Mechanical and Corrosion Properties of Newly Developed Biodegradable Zn-Based Alloys for Bone Fixation,” </w:t>
      </w:r>
      <w:r w:rsidRPr="00CE255A">
        <w:rPr>
          <w:i/>
          <w:iCs/>
        </w:rPr>
        <w:t xml:space="preserve">Acta </w:t>
      </w:r>
      <w:proofErr w:type="spellStart"/>
      <w:r w:rsidRPr="00CE255A">
        <w:rPr>
          <w:i/>
          <w:iCs/>
        </w:rPr>
        <w:t>Biomaterialia</w:t>
      </w:r>
      <w:proofErr w:type="spellEnd"/>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proofErr w:type="spellStart"/>
      <w:r w:rsidRPr="00CE255A">
        <w:rPr>
          <w:i/>
          <w:iCs/>
        </w:rPr>
        <w:t>npj</w:t>
      </w:r>
      <w:proofErr w:type="spellEnd"/>
      <w:r w:rsidRPr="00CE255A">
        <w:rPr>
          <w:i/>
          <w:iCs/>
        </w:rPr>
        <w:t xml:space="preserve">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t>
      </w:r>
      <w:proofErr w:type="spellStart"/>
      <w:r w:rsidRPr="00CE255A">
        <w:t>Willumeit-Römer</w:t>
      </w:r>
      <w:proofErr w:type="spellEnd"/>
      <w:r w:rsidRPr="00CE255A">
        <w:t>, and B. Zeller-</w:t>
      </w:r>
      <w:proofErr w:type="spellStart"/>
      <w:r w:rsidRPr="00CE255A">
        <w:t>Plumhoff</w:t>
      </w:r>
      <w:proofErr w:type="spellEnd"/>
      <w:r w:rsidRPr="00CE255A">
        <w:t xml:space="preserve">,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w:t>
      </w:r>
      <w:proofErr w:type="spellStart"/>
      <w:r w:rsidRPr="00CE255A">
        <w:t>Petrini</w:t>
      </w:r>
      <w:proofErr w:type="spellEnd"/>
      <w:r w:rsidRPr="00CE255A">
        <w:t xml:space="preserve">, M. </w:t>
      </w:r>
      <w:proofErr w:type="spellStart"/>
      <w:r w:rsidRPr="00CE255A">
        <w:t>Vedani</w:t>
      </w:r>
      <w:proofErr w:type="spellEnd"/>
      <w:r w:rsidRPr="00CE255A">
        <w:t xml:space="preserve">, S. </w:t>
      </w:r>
      <w:proofErr w:type="spellStart"/>
      <w:r w:rsidRPr="00CE255A">
        <w:t>Trasatti</w:t>
      </w:r>
      <w:proofErr w:type="spellEnd"/>
      <w:r w:rsidRPr="00CE255A">
        <w:t xml:space="preserve">, and F. </w:t>
      </w:r>
      <w:proofErr w:type="spellStart"/>
      <w:r w:rsidRPr="00CE255A">
        <w:t>Migliavacca</w:t>
      </w:r>
      <w:proofErr w:type="spellEnd"/>
      <w:r w:rsidRPr="00CE255A">
        <w:t xml:space="preserve">, “Continuum Damage Model for Bioresorbable Magnesium Alloy Devices — Application to Coronary </w:t>
      </w:r>
      <w:r w:rsidRPr="00CE255A">
        <w:lastRenderedPageBreak/>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 xml:space="preserve">Acta </w:t>
      </w:r>
      <w:proofErr w:type="spellStart"/>
      <w:r w:rsidRPr="00CE255A">
        <w:rPr>
          <w:i/>
          <w:iCs/>
        </w:rPr>
        <w:t>Biomaterialia</w:t>
      </w:r>
      <w:proofErr w:type="spellEnd"/>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w:t>
      </w:r>
      <w:proofErr w:type="spellStart"/>
      <w:r w:rsidRPr="00CE255A">
        <w:t>Barzegari</w:t>
      </w:r>
      <w:proofErr w:type="spellEnd"/>
      <w:r w:rsidRPr="00CE255A">
        <w:t xml:space="preserve">, D. Mei, S. V. </w:t>
      </w:r>
      <w:proofErr w:type="spellStart"/>
      <w:r w:rsidRPr="00CE255A">
        <w:t>Lamaka</w:t>
      </w:r>
      <w:proofErr w:type="spellEnd"/>
      <w:r w:rsidRPr="00CE255A">
        <w:t xml:space="preserve">,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w:t>
      </w:r>
      <w:proofErr w:type="spellStart"/>
      <w:r w:rsidRPr="00CE255A">
        <w:t>Bajger</w:t>
      </w:r>
      <w:proofErr w:type="spellEnd"/>
      <w:r w:rsidRPr="00CE255A">
        <w:t xml:space="preserve">, J. M. A. </w:t>
      </w:r>
      <w:proofErr w:type="spellStart"/>
      <w:r w:rsidRPr="00CE255A">
        <w:t>Ashbourn</w:t>
      </w:r>
      <w:proofErr w:type="spellEnd"/>
      <w:r w:rsidRPr="00CE255A">
        <w:t xml:space="preserve">, V. </w:t>
      </w:r>
      <w:proofErr w:type="spellStart"/>
      <w:r w:rsidRPr="00CE255A">
        <w:t>Manhas</w:t>
      </w:r>
      <w:proofErr w:type="spellEnd"/>
      <w:r w:rsidRPr="00CE255A">
        <w:t xml:space="preserve">, Y. Guyot, K. </w:t>
      </w:r>
      <w:proofErr w:type="spellStart"/>
      <w:r w:rsidRPr="00CE255A">
        <w:t>Lietaert</w:t>
      </w:r>
      <w:proofErr w:type="spellEnd"/>
      <w:r w:rsidRPr="00CE255A">
        <w:t xml:space="preserve">, and L. Geris, “Mathematical Modelling of the Degradation </w:t>
      </w:r>
      <w:proofErr w:type="spellStart"/>
      <w:r w:rsidRPr="00CE255A">
        <w:t>Behaviour</w:t>
      </w:r>
      <w:proofErr w:type="spellEnd"/>
      <w:r w:rsidRPr="00CE255A">
        <w:t xml:space="preserve">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w:t>
      </w:r>
      <w:proofErr w:type="spellStart"/>
      <w:r w:rsidRPr="00CE255A">
        <w:t>Medhekar</w:t>
      </w:r>
      <w:proofErr w:type="spellEnd"/>
      <w:r w:rsidRPr="00CE255A">
        <w:t xml:space="preserve">, G. S. Frankel, and N. </w:t>
      </w:r>
      <w:proofErr w:type="spellStart"/>
      <w:r w:rsidRPr="00CE255A">
        <w:t>Birbilis</w:t>
      </w:r>
      <w:proofErr w:type="spellEnd"/>
      <w:r w:rsidRPr="00CE255A">
        <w:t xml:space="preserve">,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w:t>
      </w:r>
      <w:proofErr w:type="spellStart"/>
      <w:r w:rsidRPr="00CE255A">
        <w:t>Nishikata</w:t>
      </w:r>
      <w:proofErr w:type="spellEnd"/>
      <w:r w:rsidRPr="00CE255A">
        <w:t xml:space="preserve">, and T. </w:t>
      </w:r>
      <w:proofErr w:type="spellStart"/>
      <w:r w:rsidRPr="00CE255A">
        <w:t>Tsuru</w:t>
      </w:r>
      <w:proofErr w:type="spellEnd"/>
      <w:r w:rsidRPr="00CE255A">
        <w:t xml:space="preserve">,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t>
      </w:r>
      <w:proofErr w:type="spellStart"/>
      <w:r w:rsidRPr="00CE255A">
        <w:t>Wallmersperger</w:t>
      </w:r>
      <w:proofErr w:type="spellEnd"/>
      <w:r w:rsidRPr="00CE255A">
        <w:t xml:space="preserve">, “Modeling the Uniform Corrosion Behavior of Zinc in Salt Spray Testing,” </w:t>
      </w:r>
      <w:proofErr w:type="spellStart"/>
      <w:r w:rsidRPr="00CE255A">
        <w:rPr>
          <w:i/>
          <w:iCs/>
        </w:rPr>
        <w:t>npj</w:t>
      </w:r>
      <w:proofErr w:type="spellEnd"/>
      <w:r w:rsidRPr="00CE255A">
        <w:rPr>
          <w:i/>
          <w:iCs/>
        </w:rPr>
        <w:t xml:space="preserve">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w:t>
      </w:r>
      <w:proofErr w:type="spellStart"/>
      <w:r w:rsidRPr="00CE255A">
        <w:t>Kistanov</w:t>
      </w:r>
      <w:proofErr w:type="spellEnd"/>
      <w:r w:rsidRPr="00CE255A">
        <w:t xml:space="preserve">, A. A. </w:t>
      </w:r>
      <w:proofErr w:type="spellStart"/>
      <w:r w:rsidRPr="00CE255A">
        <w:t>Izosimov</w:t>
      </w:r>
      <w:proofErr w:type="spellEnd"/>
      <w:r w:rsidRPr="00CE255A">
        <w:t xml:space="preserve">, and E. A. </w:t>
      </w:r>
      <w:proofErr w:type="spellStart"/>
      <w:r w:rsidRPr="00CE255A">
        <w:t>Korznikova</w:t>
      </w:r>
      <w:proofErr w:type="spellEnd"/>
      <w:r w:rsidRPr="00CE255A">
        <w:t xml:space="preserve">,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w:t>
      </w:r>
      <w:proofErr w:type="spellStart"/>
      <w:r w:rsidRPr="00CE255A">
        <w:t>AlBaraghtheh</w:t>
      </w:r>
      <w:proofErr w:type="spellEnd"/>
      <w:r w:rsidRPr="00CE255A">
        <w:t xml:space="preserve">, R. </w:t>
      </w:r>
      <w:proofErr w:type="spellStart"/>
      <w:r w:rsidRPr="00CE255A">
        <w:t>Willumeit‐Römer</w:t>
      </w:r>
      <w:proofErr w:type="spellEnd"/>
      <w:r w:rsidRPr="00CE255A">
        <w:t>, and B. Zeller‐</w:t>
      </w:r>
      <w:proofErr w:type="spellStart"/>
      <w:r w:rsidRPr="00CE255A">
        <w:t>Plumhoff</w:t>
      </w:r>
      <w:proofErr w:type="spellEnd"/>
      <w:r w:rsidRPr="00CE255A">
        <w:t xml:space="preserve">,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w:t>
      </w:r>
      <w:proofErr w:type="spellStart"/>
      <w:r w:rsidRPr="00CE255A">
        <w:t>Su</w:t>
      </w:r>
      <w:proofErr w:type="spellEnd"/>
      <w:r w:rsidRPr="00CE255A">
        <w:t xml:space="preserve">, L. </w:t>
      </w:r>
      <w:proofErr w:type="spellStart"/>
      <w:r w:rsidRPr="00CE255A">
        <w:t>Qiao</w:t>
      </w:r>
      <w:proofErr w:type="spellEnd"/>
      <w:r w:rsidRPr="00CE255A">
        <w:t xml:space="preserve">, and Y. Yan, “Insight into the Corrosion </w:t>
      </w:r>
      <w:proofErr w:type="spellStart"/>
      <w:r w:rsidRPr="00CE255A">
        <w:t>Behaviour</w:t>
      </w:r>
      <w:proofErr w:type="spellEnd"/>
      <w:r w:rsidRPr="00CE255A">
        <w:t xml:space="preserve">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w:t>
      </w:r>
      <w:proofErr w:type="spellStart"/>
      <w:r w:rsidRPr="00CE255A">
        <w:t>Drelich</w:t>
      </w:r>
      <w:proofErr w:type="spellEnd"/>
      <w:r w:rsidRPr="00CE255A">
        <w:t xml:space="preserve">,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lastRenderedPageBreak/>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w:t>
      </w:r>
      <w:proofErr w:type="spellStart"/>
      <w:r w:rsidRPr="00CE255A">
        <w:t>Golovaty</w:t>
      </w:r>
      <w:proofErr w:type="spellEnd"/>
      <w:r w:rsidRPr="00CE255A">
        <w:t xml:space="preserve">,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 xml:space="preserve">Acta </w:t>
      </w:r>
      <w:proofErr w:type="spellStart"/>
      <w:r w:rsidRPr="00CE255A">
        <w:rPr>
          <w:i/>
          <w:iCs/>
        </w:rPr>
        <w:t>Biomaterialia</w:t>
      </w:r>
      <w:proofErr w:type="spellEnd"/>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w:t>
      </w:r>
      <w:proofErr w:type="spellStart"/>
      <w:r w:rsidRPr="00CE255A">
        <w:t>Marmet</w:t>
      </w:r>
      <w:proofErr w:type="spellEnd"/>
      <w:r w:rsidRPr="00CE255A">
        <w:t xml:space="preserve">, M. </w:t>
      </w:r>
      <w:proofErr w:type="spellStart"/>
      <w:r w:rsidRPr="00CE255A">
        <w:t>Fingerle</w:t>
      </w:r>
      <w:proofErr w:type="spellEnd"/>
      <w:r w:rsidRPr="00CE255A">
        <w:t xml:space="preserve">, A. </w:t>
      </w:r>
      <w:proofErr w:type="spellStart"/>
      <w:r w:rsidRPr="00CE255A">
        <w:t>Wiegmann</w:t>
      </w:r>
      <w:proofErr w:type="spellEnd"/>
      <w:r w:rsidRPr="00CE255A">
        <w:t xml:space="preserve">,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w:t>
      </w:r>
      <w:proofErr w:type="spellStart"/>
      <w:r w:rsidRPr="00CE255A">
        <w:t>Tkacz</w:t>
      </w:r>
      <w:proofErr w:type="spellEnd"/>
      <w:r w:rsidRPr="00CE255A">
        <w:t xml:space="preserve">, K. </w:t>
      </w:r>
      <w:proofErr w:type="spellStart"/>
      <w:r w:rsidRPr="00CE255A">
        <w:t>Slouková</w:t>
      </w:r>
      <w:proofErr w:type="spellEnd"/>
      <w:r w:rsidRPr="00CE255A">
        <w:t xml:space="preserve">, J. </w:t>
      </w:r>
      <w:proofErr w:type="spellStart"/>
      <w:r w:rsidRPr="00CE255A">
        <w:t>Minda</w:t>
      </w:r>
      <w:proofErr w:type="spellEnd"/>
      <w:r w:rsidRPr="00CE255A">
        <w:t xml:space="preserve">,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w:t>
      </w:r>
      <w:proofErr w:type="spellStart"/>
      <w:r w:rsidRPr="00CE255A">
        <w:t>Kokubo</w:t>
      </w:r>
      <w:proofErr w:type="spellEnd"/>
      <w:r w:rsidRPr="00CE255A">
        <w:t xml:space="preserve">, and H. </w:t>
      </w:r>
      <w:proofErr w:type="spellStart"/>
      <w:r w:rsidRPr="00CE255A">
        <w:t>Takadama</w:t>
      </w:r>
      <w:proofErr w:type="spellEnd"/>
      <w:r w:rsidRPr="00CE255A">
        <w:t xml:space="preserve">,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w:t>
      </w:r>
      <w:proofErr w:type="spellStart"/>
      <w:r w:rsidRPr="00CE255A">
        <w:t>Volinsky</w:t>
      </w:r>
      <w:proofErr w:type="spellEnd"/>
      <w:r w:rsidRPr="00CE255A">
        <w:t xml:space="preserve">,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w:t>
      </w:r>
      <w:proofErr w:type="spellStart"/>
      <w:r w:rsidRPr="00CE255A">
        <w:t>Mostaed</w:t>
      </w:r>
      <w:proofErr w:type="spellEnd"/>
      <w:r w:rsidRPr="00CE255A">
        <w:t>, M. Sikora-</w:t>
      </w:r>
      <w:proofErr w:type="spellStart"/>
      <w:r w:rsidRPr="00CE255A">
        <w:t>Jasinska</w:t>
      </w:r>
      <w:proofErr w:type="spellEnd"/>
      <w:r w:rsidRPr="00CE255A">
        <w:t xml:space="preserve">, J. W. </w:t>
      </w:r>
      <w:proofErr w:type="spellStart"/>
      <w:r w:rsidRPr="00CE255A">
        <w:t>Drelich</w:t>
      </w:r>
      <w:proofErr w:type="spellEnd"/>
      <w:r w:rsidRPr="00CE255A">
        <w:t xml:space="preserve">, and M. </w:t>
      </w:r>
      <w:proofErr w:type="spellStart"/>
      <w:r w:rsidRPr="00CE255A">
        <w:t>Vedani</w:t>
      </w:r>
      <w:proofErr w:type="spellEnd"/>
      <w:r w:rsidRPr="00CE255A">
        <w:t xml:space="preserve">, “Zinc-Based Alloys for Degradable Vascular Stent Applications,” </w:t>
      </w:r>
      <w:r w:rsidRPr="00CE255A">
        <w:rPr>
          <w:i/>
          <w:iCs/>
        </w:rPr>
        <w:t xml:space="preserve">Acta </w:t>
      </w:r>
      <w:proofErr w:type="spellStart"/>
      <w:r w:rsidRPr="00CE255A">
        <w:rPr>
          <w:i/>
          <w:iCs/>
        </w:rPr>
        <w:t>Biomaterialia</w:t>
      </w:r>
      <w:proofErr w:type="spellEnd"/>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21EADB" w14:textId="77777777" w:rsidR="006831A5" w:rsidRDefault="006831A5">
      <w:r>
        <w:separator/>
      </w:r>
    </w:p>
  </w:endnote>
  <w:endnote w:type="continuationSeparator" w:id="0">
    <w:p w14:paraId="04CF8BEE" w14:textId="77777777" w:rsidR="006831A5" w:rsidRDefault="00683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BFD358" w14:textId="77777777" w:rsidR="006831A5" w:rsidRDefault="006831A5">
      <w:r>
        <w:separator/>
      </w:r>
    </w:p>
  </w:footnote>
  <w:footnote w:type="continuationSeparator" w:id="0">
    <w:p w14:paraId="54C2993C" w14:textId="77777777" w:rsidR="006831A5" w:rsidRDefault="006831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5.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30</Pages>
  <Words>24550</Words>
  <Characters>139937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118</cp:revision>
  <cp:lastPrinted>2026-10-07T06:32:00Z</cp:lastPrinted>
  <dcterms:created xsi:type="dcterms:W3CDTF">2026-10-01T06:12:00Z</dcterms:created>
  <dcterms:modified xsi:type="dcterms:W3CDTF">2026-10-07T07:09:00Z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