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val="0"/>
                <w:color w:val="000000"/>
                <w:sz w:val="20"/>
              </w:rPr>
              <w:t>In the continuum the two O₂ velocities coincide, because the Robin condition sets the O₂ flux at the interface equal to k_ORR·C_O2. In the implementation they are evaluated separately from the discrete O₂ field: v_ORR uses O₂ one probe distance beyond the interface, and v_O2 uses a two-point gradient with the local effective diffusivity. They therefore differ numerically, and the selection acts as a numerical safeguard (Rule A, SI); the Damköhler number is their ratio and is a discrete diagnostic. We have corrected Eq. 17: the velocities are negative, so the limiting (slowest) mechanism is the one with the smallest magnitude, i.e. the maximum of the signed values, not the minimum. We agree on the mass balance: the Zn²⁺ and OH⁻ source terms are driven by the Robin ORR flux regardless of which branch sets v_n, so metal loss (set by v_n) and dissolved Zn²⁺ (set by the ORR and film terms) are not tied together when the Zn-transport or diffusion branch binds. Predicted mass loss is computed from the level-set volume, not from the Zn²⁺ field, and we state this limitation explicitly. After the initial reaction-controlled stage, oxygen diffusion controls more than 99% of the interface area at 672 h (SI). [Add the fraction of the interface where the Zn-transport branch binds, from the DEBUG_BIND output.]</w:t>
            </w:r>
          </w:p>
        </w:tc>
        <w:tc>
          <w:tcPr>
            <w:tcW w:w="1587" w:type="dxa"/>
          </w:tcPr>
          <w:p w14:paraId="16904393" w14:textId="77777777" w:rsidR="003F785C" w:rsidRDefault="00E9439A">
            <w:r>
              <w:rPr>
                <w:i w:val="0"/>
                <w:color w:val="000000"/>
                <w:sz w:val="20"/>
              </w:rPr>
              <w:t>In progress</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val="0"/>
                <w:color w:val="000000"/>
                <w:sz w:val="20"/>
              </w:rPr>
              <w:t>Correct. [Zn]_sat (10 mg L⁻¹) is the Zn²⁺ concentration at the metal–electrolyte interface in the Stefan condition (Eq. 14), imposed inside the solid by a penalty term. It is not a precipitation threshold. Film formation (Eq. 11) is first-order in C_Zn without a supersaturation term, so precipitation kinetics are lumped into the effective k_f. Bulk Zn²⁺ can therefore exceed 10 mg L⁻¹ (57 mg L⁻¹ at 336 h, a 44% overestimate relative to the literature value of 39.5 mg L⁻¹). We now state this role of [Zn]_sat explicitly and note the missing solubility threshold as a limitation of the Zn²⁺ prediction.</w:t>
            </w:r>
          </w:p>
        </w:tc>
        <w:tc>
          <w:tcPr>
            <w:tcW w:w="1587" w:type="dxa"/>
          </w:tcPr>
          <w:p w14:paraId="01C09F01" w14:textId="77777777" w:rsidR="003F785C" w:rsidRDefault="00E9439A">
            <w:r>
              <w:rPr>
                <w:i w:val="0"/>
                <w:color w:val="000000"/>
                <w:sz w:val="20"/>
              </w:rPr>
              <w:t>Addressed</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val="0"/>
                <w:color w:val="000000"/>
                <w:sz w:val="20"/>
              </w:rPr>
              <w:t>The implementation is mass-based. F and F_max are in g mm⁻³ (F_max = ρ_film(1−ε)), and Cl⁻ enters the dissolution rate as a molar concentration (mol L⁻¹). The correct unit for k_d is therefore L² mol⁻² h⁻¹. The molar F_max expression and the mm⁶ g⁻² h⁻¹ unit in the manuscript were inconsistent with this and are being corrected [Eq. 11 text, Table 2, Table S5]. [The film density in the code (3.998 g cm⁻³) differs from Table 1 (5.606 g cm⁻³); reconcile before submission.]</w:t>
            </w:r>
          </w:p>
        </w:tc>
        <w:tc>
          <w:tcPr>
            <w:tcW w:w="1587" w:type="dxa"/>
          </w:tcPr>
          <w:p w14:paraId="172D7D6F" w14:textId="77777777" w:rsidR="003F785C" w:rsidRDefault="00E9439A">
            <w:r>
              <w:rPr>
                <w:i w:val="0"/>
                <w:color w:val="000000"/>
                <w:sz w:val="20"/>
              </w:rPr>
              <w:t>In progress</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val="0"/>
                <w:color w:val="000000"/>
                <w:sz w:val="20"/>
              </w:rPr>
              <w:t>The exponent of C_Cl in Eq. 11 is an effective reaction order, not the stoichiometric one: Eq. 5 is an overall reaction and the dissolution of ZnO into chloro-complexes proceeds in steps, so the rate order need not equal the stoichiometric coefficient. A second-order dependence is used as a reduced-order description [rationale/reference to be given]. Cl⁻ is not catalytic in a strict sense: Eq. 5 consumes four Cl⁻ per ZnO.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by 'effectively non-consumed' and note this approximation.</w:t>
            </w:r>
          </w:p>
        </w:tc>
        <w:tc>
          <w:tcPr>
            <w:tcW w:w="1587" w:type="dxa"/>
          </w:tcPr>
          <w:p w14:paraId="69EE9C69" w14:textId="77777777" w:rsidR="003F785C" w:rsidRDefault="00E9439A">
            <w:r>
              <w:rPr>
                <w:i w:val="0"/>
                <w:color w:val="000000"/>
                <w:sz w:val="20"/>
              </w:rPr>
              <w:t>In progress</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val="0"/>
                <w:color w:val="000000"/>
                <w:sz w:val="20"/>
              </w:rPr>
              <w:t>The film is a homogenised, volumetric field on a fixed mesh: it forms wherever dissolved Zn²⁺ is present on the electrolyte side of the level set and reduces local diffusivity (Eq. 12). It is not attached to the receding interface, and the level set advances independently of F. The ZnO/Zn volume ratio (about 1.6) is not represented, so the film does not displace the interface or expand into the volume of lost metal. This is a limitation of the model, now stated in the Limitations section. Its effect is bounded by F_max and the porosity ε, which cap the local film density.</w:t>
            </w:r>
          </w:p>
        </w:tc>
        <w:tc>
          <w:tcPr>
            <w:tcW w:w="1587" w:type="dxa"/>
          </w:tcPr>
          <w:p w14:paraId="2407277D" w14:textId="77777777" w:rsidR="003F785C" w:rsidRDefault="00E9439A">
            <w:r>
              <w:rPr>
                <w:i w:val="0"/>
                <w:color w:val="000000"/>
                <w:sz w:val="20"/>
              </w:rPr>
              <w:t>Addressed</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val="0"/>
                <w:color w:val="000000"/>
                <w:sz w:val="20"/>
              </w:rPr>
              <w:t>The ORR terms use a sharp surface integral over the zero level set of the P1-interpolated signed-distance function (FreeFEM int2d with the levelset option), so there is no smoothing parameter in the reaction terms. A smoothed delta function, δ = (1 − tanh²(φ/ε_δ))/(2ε_δ) with ε_δ equal to the minimum mesh size, is used only in post-processing to average quantities over the interface. We now state this in the Methods.</w:t>
            </w:r>
          </w:p>
        </w:tc>
        <w:tc>
          <w:tcPr>
            <w:tcW w:w="1587" w:type="dxa"/>
          </w:tcPr>
          <w:p w14:paraId="10ED62B0" w14:textId="77777777" w:rsidR="003F785C" w:rsidRDefault="00E9439A">
            <w:r>
              <w:rPr>
                <w:i w:val="0"/>
                <w:color w:val="000000"/>
                <w:sz w:val="20"/>
              </w:rPr>
              <w:t>Addressed</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val="0"/>
                <w:color w:val="000000"/>
                <w:sz w:val="20"/>
              </w:rPr>
              <w:t>The sweeps in the original Fig. 4 used k_f = 100, k_d = 30 and k_ORR = 1.0, not the optimised Table 2 values, which is why the baseline gave 0.39% at 168 h against about 0.19% in Fig. 5a. We have repeated the sweeps around the calibrated baseline, varying each parameter by the same fold-change (×0.5 and ×2) with the other parameters fixed. The baseline curve now coincides with the calibrated simulation in Fig. 5a. [Insert the updated Fig. 4 and the revised 168 h mass-loss changes once the runs are complete.]</w:t>
            </w:r>
          </w:p>
        </w:tc>
        <w:tc>
          <w:tcPr>
            <w:tcW w:w="1587" w:type="dxa"/>
          </w:tcPr>
          <w:p w14:paraId="6512CE4C" w14:textId="77777777" w:rsidR="003F785C" w:rsidRDefault="00E9439A">
            <w:r>
              <w:rPr>
                <w:i w:val="0"/>
                <w:color w:val="000000"/>
                <w:sz w:val="20"/>
              </w:rPr>
              <w:t>In progress</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val="0"/>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2EEE26D6" w14:textId="77777777" w:rsidR="003F785C" w:rsidRDefault="00E9439A">
            <w:r>
              <w:rPr>
                <w:i w:val="0"/>
                <w:color w:val="000000"/>
                <w:sz w:val="20"/>
              </w:rPr>
              <w:t>Addressed</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val="0"/>
                <w:color w:val="000000"/>
                <w:sz w:val="20"/>
              </w:rPr>
              <w:t>We have reconciled the two statements by giving the cost where each is used. Calibration is tractable because only three parameters are calibrated, on a coarse mesh at about 2 h per 3D simulation (Table S4). The high-fidelity validation and stent simulations remain computationally demanding, at about 69 h on 50–64 cores for 672 h on a 19–21 million-element mesh (Table S4). The Results now describe the calibration as tractable and cite the cost, and the Discussion states the high-fidelity cost explicitly.</w:t>
            </w:r>
          </w:p>
        </w:tc>
        <w:tc>
          <w:tcPr>
            <w:tcW w:w="1587" w:type="dxa"/>
          </w:tcPr>
          <w:p w14:paraId="71A74D26" w14:textId="77777777" w:rsidR="003F785C" w:rsidRDefault="00E9439A">
            <w:r>
              <w:rPr>
                <w:i w:val="0"/>
                <w:color w:val="000000"/>
                <w:sz w:val="20"/>
              </w:rPr>
              <w:t>Addressed</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val="0"/>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01042F3A" w14:textId="77777777" w:rsidR="003F785C" w:rsidRDefault="00E9439A">
            <w:r>
              <w:rPr>
                <w:i w:val="0"/>
                <w:color w:val="000000"/>
                <w:sz w:val="20"/>
              </w:rPr>
              <w:t>Addressed</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val="0"/>
                <w:color w:val="000000"/>
                <w:sz w:val="20"/>
              </w:rPr>
              <w:t>Fixed: 'a R²' is now 'an R²', and 'shown in (Figure 4g–i)' is now 'shown in Figure 4g–i'. The capitalised 'Literature' in the text is inside the title of a cited reference (Tortuosity-Porosity Relationships: Review of Empirical Data from Literature), where title-case capitalisation is correct, so it was left unchanged. The mid-sentence 'literature' in the Zn²⁺/pH paragraph was already lower-case.</w:t>
            </w:r>
          </w:p>
        </w:tc>
        <w:tc>
          <w:tcPr>
            <w:tcW w:w="1587" w:type="dxa"/>
          </w:tcPr>
          <w:p w14:paraId="4DF864B7" w14:textId="77777777" w:rsidR="003F785C" w:rsidRDefault="00E9439A">
            <w:r>
              <w:rPr>
                <w:i w:val="0"/>
                <w:color w:val="000000"/>
                <w:sz w:val="20"/>
              </w:rPr>
              <w:t>Addressed</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