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the baseline values. At 168 h, the ORR ceilings for k_ORR = 0.04, 0.2 and 1 are 0.06, 0.30 and 1.5%,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This is why there is a difference in RMSE.</w:t>
            </w:r>
          </w:p>
        </w:tc>
        <w:tc>
          <w:tcPr>
            <w:tcW w:w="1587" w:type="dxa"/>
          </w:tcPr>
          <w:p w14:paraId="709655BA" w14:textId="77777777" w:rsidR="003F785C" w:rsidRDefault="00E9439A">
            <w:r>
              <w:rPr>
                <w:sz w:val="20"/>
              </w:rPr>
              <w:t>Open</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The calibration data (Liu et al.) were measured in r-SBF and the validation data in Ca/Mg-free HBSS. r-SBF has more complex chemistry (extra ions, Tris buffer, more precipitation), whereas HBSS is simpler and closer to the single effective ZnO phase assumed by the model, which explains the lower validation RMSE (0.0159% vs 0.042%). The validation error is also small relative to the experimental scatter (SD = 0.115% at 28 days, n = 3), so the two RMSE values are not directly comparable.</w:t>
            </w:r>
          </w:p>
        </w:tc>
        <w:tc>
          <w:tcPr>
            <w:tcW w:w="1587" w:type="dxa"/>
          </w:tcPr>
          <w:p w14:paraId="0C4A546A" w14:textId="77777777" w:rsidR="00660073" w:rsidRDefault="00000000">
            <w:r>
              <w:rPr>
                <w:sz w:val="20"/>
              </w:rPr>
              <w:t>Draft</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[To be completed]</w:t>
            </w:r>
          </w:p>
        </w:tc>
        <w:tc>
          <w:tcPr>
            <w:tcW w:w="1587" w:type="dxa"/>
          </w:tcPr>
          <w:p w14:paraId="4C8928EC" w14:textId="77777777" w:rsidR="003F785C" w:rsidRDefault="00E9439A">
            <w:r>
              <w:rPr>
                <w:sz w:val="20"/>
              </w:rPr>
              <w:t>Open</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[Add parameter correlations and profile or bootstrap intervals once BO is re-run; k_ORR is expected to be well constrained and k_f and k_d only through their ratio.]</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In progress</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not the optimised values, giving 0.39% at 168 h against about 0.19% in Fig. 5a. Fig. 4 has been recomputed around the baseline values, varying each parameter by ×0.2 and ×5; the baseline now gives 0.20% at 168 h, matching Fig. 5a. [Confirm that the baseline equals the calibrated values in Table 2.]</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In progress</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13.2× ratio compares 3.72 µm (outer) with 0.28 µm (inner), a depth below the interface mesh size, so the ratio is poorly constrained. The absolute difference (3.4 µm) is reported alongside it. The stent crown (Fig. 7d) gives 8.55 and 4.76 µm (1.8×, a 3.8 µm difference); the isolated 150° arc (radius 0.63 mm) confines its inner side more strongly. [Confirm the depths are taken at the arc apex and add the absolute differences to the Results.]</w:t>
            </w:r>
            <w:proofErr w:type="gramStart"/>
            <w:proofErr w:type="gramEnd"/>
          </w:p>
        </w:tc>
        <w:tc>
          <w:tcPr>
            <w:tcW w:w="1587" w:type="dxa"/>
          </w:tcPr>
          <w:p w14:paraId="00430183" w14:textId="77777777" w:rsidR="003F785C" w:rsidRDefault="00E9439A">
            <w:r>
              <w:rPr>
                <w:color w:val="000000"/>
                <w:sz w:val="20"/>
              </w:rPr>
              <w:t>In progress</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color w:val="808080"/>
                <w:sz w:val="20"/>
              </w:rPr>
              <w:t>[To be completed]</w:t>
            </w:r>
          </w:p>
        </w:tc>
        <w:tc>
          <w:tcPr>
            <w:tcW w:w="1587" w:type="dxa"/>
          </w:tcPr>
          <w:p w14:paraId="26CDCDCD" w14:textId="77777777" w:rsidR="003F785C" w:rsidRDefault="00E9439A">
            <w:r>
              <w:rPr>
                <w:sz w:val="20"/>
              </w:rPr>
              <w:t>Open</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color w:val="808080"/>
                <w:sz w:val="20"/>
              </w:rPr>
              <w:t>[To be completed]</w:t>
            </w:r>
          </w:p>
        </w:tc>
        <w:tc>
          <w:tcPr>
            <w:tcW w:w="1587" w:type="dxa"/>
          </w:tcPr>
          <w:p w14:paraId="6A18FA18" w14:textId="77777777" w:rsidR="003F785C" w:rsidRDefault="00E9439A">
            <w:r>
              <w:rPr>
                <w:sz w:val="20"/>
              </w:rPr>
              <w:t>Open</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sz w:val="20"/>
              </w:rPr>
              <w:t xml:space="preserve">The Code Availability statement has been corrected to identify the </w:t>
            </w:r>
            <w:proofErr w:type="spellStart"/>
            <w:r w:rsidRPr="00DF4846">
              <w:rPr>
                <w:sz w:val="20"/>
              </w:rPr>
              <w:t>Zenodo</w:t>
            </w:r>
            <w:proofErr w:type="spellEnd"/>
            <w:r w:rsidRPr="00DF4846">
              <w:rPr>
                <w:sz w:val="20"/>
              </w:rPr>
              <w:t xml:space="preserve"> repository rather than GitHub. The Data Availability Statement was provided separately through the Wiley submission portal.</w:t>
            </w:r>
          </w:p>
        </w:tc>
        <w:tc>
          <w:tcPr>
            <w:tcW w:w="1587" w:type="dxa"/>
          </w:tcPr>
          <w:p w14:paraId="1B21FA7D" w14:textId="77777777" w:rsidR="003F785C" w:rsidRDefault="00E9439A">
            <w:r>
              <w:rPr>
                <w:sz w:val="20"/>
              </w:rPr>
              <w:t>Open</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