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(down to 0.1 in the local phase) and k_ORR ∈ [0.05, 5] mm h⁻¹. Each repeat used 28 evaluations in three phases: a 12-point Latin hypercube; 8 points chosen by expected improvement on a Gaussian-process surrogate (Matérn ν = 2.5); and 8 further local points chosen on the same mass-loss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0.0173%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The best points were found at iterations 25 and 20, in the local and expected-improvement phases, respectively. The calibrated k_ORR was consistent between repeats (0.15–0.19 mm h⁻¹ among all 25 fits with RMSE ≤ 0.025%), whereas k_f and k_d were not individually identifiable: fits of equal quality spanned k_f = 2.2–96 h⁻¹ and k_d = 0.6–93 L² mol⁻² h⁻¹. The adopted values</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are listed.</w:t>
      </w:r>
      <w:r w:rsidR="00215165" w:rsidRPr="001A2EB4"/>
      <w:r w:rsidR="00B31A12" w:rsidRPr="001A2EB4">
        <w:t xml:space="preserve">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