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Solver</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FreeFEM++ (MPI), corrected-physics code v2 (chloride molar-unit fix in the film-dissolution term); hard-minimum rate rule</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Calibration geometry</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Disc, diameter 10 mm x 2 mm, in a 30 x 30 x 30 mm box; coarse tetrahedral mesh (hmin 0.5 mm, 37,399 tetrahedra, 5,818 in the metal); closed box (no O2 inflow boundary)</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Time stepping</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dt = 4 h, 336 h simulated per evaluation; no level-set redistancing; interface-relative velocity extension, probe distance 0.05 mm</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w:r w:rsidR="0063194E" w:rsidRPr="00151F4E">
              <w:rPr>
                <w:rFonts w:cs="Times New Roman"/>
                <w:color w:val="000000"/>
                <w:sz w:val="20"/>
                <w:szCs w:val="20"/>
                <w:lang w:eastAsia="en-US"/>
              </w:rPr>
              <w:t>k_f (film formation, 1/h), k_d (film dissolution, L2 mol-2 h-1, Cl- as mol/L), k_ORR (effective ORR coefficient, mm/h)</w:t>
            </w:r>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Search bounds (log10-uniform)</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k_f [1, 100]; k_d [1, 100] (Phase 3 allowed 0.1-100); k_ORR [0.05, 5]</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Fixed parameters used in these runs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film porosity 0.25; film tortuosity 2.00; film density 5.606 g/cm3 (as in manuscript Table 1); D_O2 10.8, D_Zn 3.38, D_Cl 9.7, D_OH 25.45 mm2/h; C_O2,0 3.5 mg/L; Cl- 142.3 mmol/L; [Zn]sat 10 mg/L  (NOTE: diffusivities differ from manuscript Table 1 - to be reconciled)</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data</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Liu et al., J. Mater. Sci. Technol. (2018), doi 10.1016/j.jmst.2018.05.005: mass loss and corrosion rate at 24, 48, 120, 168, 240, 336 h</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Mesh correction</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Coarse-to-fine bias correction: ML_fine = 1.355846 x ML_coarse - 0.001584 (Pearson r = 0.998644 vs the hmin 0.25 mm mesh); derived with the earlier code version</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Simulated corrosion rate</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CR = ML/100 x m0 / (t rho A) x 8760 (cumulative average); m0 = 1.1217 g, rho = 0.00714 g/mm3, A = 238 mm2</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Phase 1-2</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of corrected mass loss vs target (24-336 h)</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Phase 3</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of corrected mass loss vs target (24-336 h), the same objective as Phases 1-2 (all points chosen and scored on mass loss only)</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Design Phase 1</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(scipy qmc), seeds 7 (repeat 1) and 101 (repeat 2)</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Design Phase 2</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 (Matern nu=2.5 + white noise; normalised log10 inputs; log10 RMSE output; 20 restarts), expected improvement, 8 points, minimum separation 0.15 (normalised). k_f and k_d length scales sat at the upper bound, so k_ORR was narrowed to the EI ridge (0.12-0.20) and k_f, k_d were stratified by Latin hypercube over [1,100]</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Design Phase 3</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Same GP on log10 RMSE over all 20 evaluations; EI proposals; unresolved axes (k_f, k_d) stratified within a factor 3 of the current best point; 8 points</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Cost</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4 cores per evaluation, about 20 min; 28 evaluations per repeat, 2 repeats</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