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proofErr w:type="spellStart"/>
      <w:proofErr w:type="spellEnd"/>
      <w:r w:rsidR="00BC506D" w:rsidRPr="001A2EB4">
        <w:rPr>
          <w:rFonts w:cs="Times New Roman"/>
        </w:rPr>
        <w:t xml:space="preserve">the corrosion products are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xml:space="preserve">)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corrosion-product dissolution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ZnO-based corrosion products.</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 xml:space="preserve">Here, the corrosion-product field</w:t>
      </w:r>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r w:rsidRPr="001A2EB4">
        <w:t xml:space="preserve">The corrosion-product field is a homogenized, volumetric concentration field: it is not confined to the metal surface, and it reduces the local diffusivity as described below.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 30 × 30 × 30 mm electrolyte domain, identical for the disc and the stent and larger than three times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 no natural convection was considered (static conditions), and Zn²⁺ accumulation was not reset.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corrosion-product saturation (F/Fₘₐₓ)</w:t>
      </w:r>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 xml:space="preserve">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corrosion-product saturation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the normalized corrosion-product saturation, F/Fₘₐₓ (%), and panels (g–i)</w:t>
      </w:r>
      <w:proofErr w:type="spellStart"/>
      <w:r w:rsidRPr="001A2EB4">
        <w:t xml:space="preserve"/>
      </w:r>
      <w:proofErr w:type="spellEnd"/>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w:t>
      </w:r>
      <w:r w:rsidR="00CF36DC" w:rsidRPr="001A2EB4">
        <w:rPr>
          <w:rFonts w:cs="Times New Roman"/>
        </w:rPr>
        <w:t xml:space="preserve"/>
      </w:r>
      <w:r w:rsidRPr="001A2EB4">
        <w:rPr>
          <w:rFonts w:cs="Times New Roman"/>
        </w:rPr>
        <w:t xml:space="preserve">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xml:space="preserve">, the model reproduced the overall evolution of both quantities, capturing the rapid initial increase followed by a gradual plateau, with errors at 336 h of 44% for Zn²⁺ and 2.8% for pH</w:t>
      </w:r>
      <w:r w:rsidR="009F6828">
        <w:rPr>
          <w:rFonts w:cs="Times New Roman"/>
        </w:rPr>
        <w:t xml:space="preserve"/>
      </w:r>
      <w:r w:rsidR="009F6828" w:rsidRPr="009F6828">
        <w:rPr>
          <w:rFonts w:cs="Times New Roman"/>
        </w:rPr>
        <w:t xml:space="preserve"/>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 products are treated as a homogenized ZnO-based field rather than a discrete surface film or a heterogeneous, composition-dependent structure. The dissolved oxygen concentration (3.5 mg L⁻¹) was taken from literature values for body fluids and was not measured in the immersion experiments; because it is strongly coupled to the ORR rate coefficient, the calibrated k_ORR should be regarded as an effective parameter that may also absorb uncertainty in the oxygen supply.</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lastRenderedPageBreak/>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(about 69 h on 50–64 cores for a 672 h simulation on a 19–21 million-element mesh; Table S4),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of the same order of magnitude as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lastRenderedPageBreak/>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