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CE255A">
        <w:rPr>
          <w:rFonts w:cs="Times New Roman"/>
        </w:rPr>
        <w:instrText xml:space="preserve"> ADDIN ZOTERO_ITEM CSL_CITATION {"citationID":"LmMK5e9z","properties":{"unsorted":false,"formattedCitation":"\\super [29]\\nosupersub{}","plainCitation":"[29]","noteIndex":0},"citationItems":[{"id":3871,"uris":["http://zotero.org/users/16939557/items/VR5DEBC2"],"itemData":{"id":3871,"type":"article-journal","citation-key":"bowenZincExhibitsIdeal2013","container-title":"Advanced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2.1 to 2.7 µm across the curved-wire configurations (30°, 90°, and 150° arcs) and from 2.1 to 2.7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consistent with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