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proofErr w:type="spellStart"/>
      <w:proofErr w:type="spellEnd"/>
      <w:r w:rsidR="00BC506D" w:rsidRPr="001A2EB4">
        <w:rPr>
          <w:rFonts w:cs="Times New Roman"/>
        </w:rPr>
        <w:t xml:space="preserve">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w:t>
      </w:r>
      <w:r w:rsidR="00CF36DC" w:rsidRPr="001A2EB4">
        <w:rPr>
          <w:rFonts w:cs="Times New Roman"/>
        </w:rPr>
        <w:t xml:space="preserve"/>
      </w:r>
      <w:r w:rsidRPr="001A2EB4">
        <w:rPr>
          <w:rFonts w:cs="Times New Roman"/>
        </w:rPr>
        <w:t xml:space="preserve">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capturing the rapid initial increase followed by a gradual plateau, with errors at 336 h of 44% for Zn²⁺ and 2.8% for pH</w:t>
      </w:r>
      <w:r w:rsidR="009F6828">
        <w:rPr>
          <w:rFonts w:cs="Times New Roman"/>
        </w:rPr>
        <w:t xml:space="preserve"/>
      </w:r>
      <w:r w:rsidR="009F6828" w:rsidRPr="009F6828">
        <w:rPr>
          <w:rFonts w:cs="Times New Roman"/>
        </w:rPr>
        <w:t xml:space="preserve"/>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2.1 to 2.7 µm across the curved-wire configurations (30°, 90°, and 150° arcs) and from 2.1 to 2.7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 The dissolved oxygen concentration (3.5 mg L⁻¹) was taken from literature values for body fluids and was not measured in the immersion experiments; because it is strongly coupled to the ORR rate coefficient, the calibrated k_ORR should be regarded as an effective parameter that may also absorb uncertainty in the oxygen supply.</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