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A8CCC" w14:textId="3C74B79D" w:rsidR="00016474" w:rsidRPr="00154208" w:rsidRDefault="003D0986" w:rsidP="00016474">
      <w:pPr>
        <w:spacing w:line="240" w:lineRule="auto" w:after="120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D009210" w14:textId="3BDCEE06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rPr/>
        <w:t>Henaka Ariyarathna, Xuan Yang, Aijun Huang, Yunlong Tang</w:t>
      </w:r>
      <w:r>
        <w:rPr>
          <w:vertAlign w:val="superscript"/>
        </w:rPr>
        <w:t>*</w:t>
      </w:r>
      <w:r>
        <w:rPr/>
        <w:t>, Yuman Zhu</w:t>
      </w:r>
      <w:r>
        <w:rPr>
          <w:vertAlign w:val="superscript"/>
        </w:rPr>
        <w:t>*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Tang, Y. Zhu</w:t>
      </w:r>
    </w:p>
    <w:p>
      <w:pPr>
        <w:spacing w:after="80" w:before="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</w:t>
      </w:r>
    </w:p>
    <w:p>
      <w:pPr>
        <w:spacing w:after="80" w:before="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A. Huang, Y. Tang, Y. Zhu</w:t>
      </w:r>
    </w:p>
    <w:p>
      <w:pPr>
        <w:spacing w:after="80" w:before="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>
      <w:pPr>
        <w:spacing w:after="240" w:before="0"/>
        <w:jc w:val="center"/>
      </w:pPr>
      <w:r>
        <w:rPr>
          <w:sz w:val="20"/>
        </w:rPr>
        <w:t>*Correspondence: Yunlong.Tang1@monash.edu, yuman.zhu@monash.edu</w:t>
      </w:r>
    </w:p>
    <w:p>
      <w:pPr>
        <w:spacing w:after="80" w:before="0"/>
      </w:pPr>
      <w:r>
        <w:rPr>
          <w:b/>
          <w:sz w:val="24"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firstColumn="1" w:firstRow="1" w:lastColumn="0" w:lastRow="0" w:noHBand="0" w:noVBand="1" w:val="04A0"/>
      </w:tblPr>
      <w:tblGrid>
        <w:gridCol w:w="1000"/>
        <w:gridCol w:w="4200"/>
        <w:gridCol w:w="3826"/>
      </w:tblGrid>
      <w:tr>
        <w:trPr>
          <w:cantSplit/>
          <w:tblHeader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S1; Figures S1–S2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S2–S3; Figures S3–S4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S5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S7–S10; Figure S6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Figure S7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Figures S8–S10</w:t>
            </w:r>
          </w:p>
        </w:tc>
      </w:tr>
    </w:tbl>
    <w:p w14:paraId="02BAFE13" w14:textId="09ECBB2A" w:rsidR="003D0986" w:rsidRDefault="001C0510" w:rsidP="00BE6B79">
      <w:pPr>
        <w:pStyle w:val="Heading1"/>
        <w:spacing w:before="280"/>
      </w:pPr>
      <w:r>
        <w:t>S1. Model equations and velocity-selection rule</w:t>
      </w:r>
    </w:p>
    <w:p>
      <w:pPr>
        <w:pStyle w:val="BodyText"/>
        <w:spacing w:before="0" w:after="120" w:line="276" w:lineRule="auto"/>
        <w:ind w:firstLine="0"/>
        <w:jc w:val="both"/>
      </w:pPr>
      <w:r>
        <w:t>This section defines the quantities used to evaluate the simulations (Equations S1–S3) and documents the choice of velocity-selection rule (Rules A–D; Table S1 and Figures S1 and S2).</w:t>
      </w:r>
    </w:p>
    <w:p w14:paraId="05C3E707" w14:textId="4DDFBD53" w:rsidR="001C0510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0CCED9C3" w14:textId="74A91EB3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0C837E04" w14:textId="4DABDC6E" w:rsidR="00FD0272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55344EFD" w14:textId="76AD1272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33FB835C" w14:textId="7F6E27EC" w:rsidR="00D664E5" w:rsidRPr="002634AA" w:rsidRDefault="00457C34" w:rsidP="00D664E5">
      <w:pPr>
        <w:pStyle w:val="BodyText"/>
        <w:keepNext w:val="0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5A3724C8" w14:textId="52A1A9CB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16B6EC9D" w14:textId="473D309B" w:rsidR="007E2F54" w:rsidRP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Four velocity-selection formulations were evaluated against literature Zn degradation data</w:t>
      </w:r>
      <w:r>
        <w:rPr>
          <w:rFonts w:cs="Times New Roman"/>
        </w:rPr>
        <w:t xml:space="preserve"/>
      </w:r>
      <w:r w:rsidRPr="007E2F54">
        <w:rPr>
          <w:rFonts w:cs="Times New Roman"/>
        </w:rPr>
        <w:t xml:space="preserve">. The candidate formulations were: </w:t>
      </w:r>
    </w:p>
    <w:p w14:paraId="382F6009" w14:textId="0BDB9434" w:rsidR="007E2F54" w:rsidRPr="007125DF" w:rsidRDefault="007E2F54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A55D441" w14:textId="05032EF5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w:lastRenderedPageBreak/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0421C2DA" w14:textId="175C1C7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68DC2523" w14:textId="6D6514D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5EE8C0AF" w14:textId="4714E6A4" w:rsid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The hard-minimum formulation (Rule A) produced the lowest prediction error (RMSE = 0.0568%) and most accurately reproduced the experimentally observed decline and plateau in mass loss. Only two controlling-regime transitions occurred during the simulation (&lt;2% of time steps), indicating negligible numerical switching </w:t>
      </w:r>
      <w:r>
        <w:rPr>
          <w:rFonts w:cs="Times New Roman"/>
        </w:rPr>
        <w:t>artifacts</w:t>
      </w:r>
      <w:r w:rsidRPr="007E2F54">
        <w:rPr>
          <w:rFonts w:cs="Times New Roman"/>
        </w:rPr>
        <w:t>. Following the initial reaction-controlled stage, degradation became predominantly oxygen-diffusion limited. Based on predictive accuracy, physical consistency, and agreement with observed passivation </w:t>
      </w:r>
      <w:r>
        <w:rPr>
          <w:rFonts w:cs="Times New Roman"/>
        </w:rPr>
        <w:t>behavior</w:t>
      </w:r>
      <w:r w:rsidRPr="007E2F54">
        <w:rPr>
          <w:rFonts w:cs="Times New Roman"/>
        </w:rPr>
        <w:t>, Rule A was selected for all simulations. </w:t>
      </w:r>
    </w:p>
    <w:p w14:paraId="375132FE" w14:textId="77777777" w:rsidR="001D3A0A" w:rsidRDefault="001D3A0A" w:rsidP="001D3A0A">
      <w:pPr>
        <w:pStyle w:val="BodyText"/>
        <w:keepNext/>
        <w:spacing w:before="200" w:after="0" w:line="240" w:lineRule="auto"/>
        <w:ind w:firstLine="0"/>
        <w:jc w:val="center"/>
      </w:pPr>
      <w:r w:rsidRPr="001D3A0A">
        <w:rPr>
          <w:rFonts w:cs="Times New Roman"/>
          <w:noProof/>
        </w:rPr>
        <w:drawing>
          <wp:inline distT="0" distB="0" distL="0" distR="0" wp14:anchorId="00186D7D" wp14:editId="2C1C9DDC">
            <wp:extent cx="5731510" cy="4184015"/>
            <wp:effectExtent l="0" t="0" r="254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01F1" w14:textId="250DF180" w:rsidR="001D3A0A" w:rsidRDefault="001D3A0A" w:rsidP="001D3A0A">
      <w:pPr>
        <w:pStyle w:val="Captions"/>
        <w:keepNext w:val="0"/>
        <w:spacing w:line="240" w:lineRule="auto" w:before="80" w:after="280"/>
        <w:ind w:firstLine="0"/>
        <w:jc w:val="both"/>
      </w:pPr>
      <w:r w:rsidRPr="001D3A0A">
        <w:rPr>
          <w:b/>
          <w:bCs/>
          <w:sz w:val="20"/>
          <w:szCs w:val="20"/>
        </w:rPr>
        <w:t>Figure S</w:t>
      </w:r>
      <w:r w:rsidRPr="001D3A0A">
        <w:rPr>
          <w:b/>
          <w:bCs/>
          <w:sz w:val="20"/>
          <w:szCs w:val="20"/>
        </w:rPr>
        <w:fldChar w:fldCharType="begin"/>
      </w:r>
      <w:r w:rsidRPr="001D3A0A">
        <w:rPr>
          <w:b/>
          <w:bCs/>
          <w:sz w:val="20"/>
          <w:szCs w:val="20"/>
        </w:rPr>
        <w:instrText xml:space="preserve"> SEQ Figure \* ARABIC </w:instrText>
      </w:r>
      <w:r w:rsidRPr="001D3A0A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</w:t>
      </w:r>
      <w:r w:rsidRPr="001D3A0A">
        <w:rPr>
          <w:b/>
          <w:bCs/>
          <w:sz w:val="20"/>
          <w:szCs w:val="20"/>
        </w:rPr>
        <w:fldChar w:fldCharType="end"/>
      </w:r>
      <w:r w:rsidRPr="001D3A0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1D3A0A">
        <w:rPr>
          <w:b w:val="0"/>
          <w:sz w:val="20"/>
          <w:szCs w:val="20"/>
        </w:rPr>
        <w:t xml:space="preserve">Literature and predicted cumulative mass loss obtained using four velocity-selection formulations. Rule A (hard minimum) </w:t>
      </w:r>
      <w:r>
        <w:rPr>
          <w:b w:val="0"/>
          <w:sz w:val="20"/>
          <w:szCs w:val="20"/>
        </w:rPr>
        <w:t xml:space="preserve">best matched the literature data</w:t>
      </w:r>
      <w:r w:rsidRPr="001D3A0A">
        <w:rPr>
          <w:b w:val="0"/>
          <w:sz w:val="20"/>
          <w:szCs w:val="20"/>
        </w:rPr>
        <w:t xml:space="preserve"> (RMSE = 0.0568%) and was therefore adopted in the final model. Rules B and C </w:t>
      </w:r>
      <w:r>
        <w:rPr>
          <w:b w:val="0"/>
          <w:sz w:val="20"/>
          <w:szCs w:val="20"/>
        </w:rPr>
        <w:t>performed comparably</w:t>
      </w:r>
      <w:r w:rsidRPr="001D3A0A">
        <w:rPr>
          <w:b w:val="0"/>
          <w:sz w:val="20"/>
          <w:szCs w:val="20"/>
        </w:rPr>
        <w:t>, while Rule D markedly overpredicted degradation.</w:t>
      </w:r>
    </w:p>
    <w:p w14:paraId="7A566B5C" w14:textId="77777777" w:rsidR="0021293D" w:rsidRDefault="0021293D" w:rsidP="0021293D">
      <w:pPr>
        <w:pStyle w:val="Captions"/>
        <w:keepNext/>
        <w:spacing w:before="200" w:after="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58256D" wp14:editId="3B8AA92F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45CA" w14:textId="17DD081E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2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Interface recession velocity components for (a) a Zn disc and (b) a Zn stent during 672 h of immersion. The zinc transport-limited (</w:t>
      </w:r>
      <w:r>
        <w:rPr>
          <w:b w:val="0"/>
          <w:sz w:val="20"/>
          <w:szCs w:val="20"/>
        </w:rPr>
        <w:t>v</w:t>
      </w:r>
      <w:r w:rsidRPr="0021293D">
        <w:rPr>
          <w:b w:val="0"/>
          <w:sz w:val="20"/>
          <w:szCs w:val="20"/>
          <w:vertAlign w:val="subscript"/>
        </w:rPr>
        <w:t>Zn</w:t>
      </w:r>
      <w:r w:rsidRPr="0021293D">
        <w:rPr>
          <w:b w:val="0"/>
          <w:sz w:val="20"/>
          <w:szCs w:val="20"/>
        </w:rPr>
        <w:t>​), oxygen reduction-limited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>ORR</w:t>
      </w:r>
      <w:r w:rsidRPr="0021293D">
        <w:rPr>
          <w:b w:val="0"/>
          <w:sz w:val="20"/>
          <w:szCs w:val="20"/>
        </w:rPr>
        <w:t>​), and oxygen diffusion-limited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 xml:space="preserve">O2, </w:t>
      </w:r>
      <w:r w:rsidRPr="0021293D">
        <w:rPr>
          <w:b w:val="0"/>
          <w:sz w:val="20"/>
          <w:szCs w:val="20"/>
          <w:vertAlign w:val="subscript"/>
        </w:rPr>
        <w:t>diff</w:t>
      </w:r>
      <w:r w:rsidRPr="0021293D">
        <w:rPr>
          <w:b w:val="0"/>
          <w:sz w:val="20"/>
          <w:szCs w:val="20"/>
        </w:rPr>
        <w:t>​) velocities are shown separately.</w:t>
      </w:r>
    </w:p>
    <w:p w14:paraId="6DD3F48A" w14:textId="348E46B6" w:rsidR="00ED14A2" w:rsidRDefault="00ED14A2" w:rsidP="00ED14A2">
      <w:pPr>
        <w:pStyle w:val="Captions"/>
        <w:keepNext/>
        <w:spacing w:line="240" w:lineRule="auto" w:before="200" w:after="80"/>
        <w:ind w:firstLine="0"/>
        <w:jc w:val="both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A34D79">
        <w:rPr>
          <w:b w:val="0"/>
          <w:sz w:val="20"/>
          <w:szCs w:val="20"/>
        </w:rPr>
        <w:t xml:space="preserve">Comparison of the candidate velocity-selection formulations. Rule A (hard minimum) </w:t>
      </w:r>
      <w:r>
        <w:rPr>
          <w:b w:val="0"/>
          <w:sz w:val="20"/>
          <w:szCs w:val="20"/>
        </w:rPr>
        <w:t>best matched</w:t>
      </w:r>
      <w:r w:rsidRPr="00A34D79">
        <w:rPr>
          <w:b w:val="0"/>
          <w:sz w:val="20"/>
          <w:szCs w:val="20"/>
        </w:rPr>
        <w:t xml:space="preserve"> literature mass-loss measurements and was adopted in the final model.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A3E3219" w14:textId="77777777" w:rsidTr="00ED14A2">
        <w:trPr>
          <w:cantSplit/>
          <w:tblHeader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46B3B8C1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7C38B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23D4EA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7FF906C7" w14:textId="77777777" w:rsidTr="00ED14A2">
        <w:trPr>
          <w:cantSplit/>
        </w:trPr>
        <w:tc>
          <w:tcPr>
            <w:tcW w:w="3009" w:type="dxa"/>
            <w:vAlign w:val="center"/>
          </w:tcPr>
          <w:p w14:paraId="7F14AFF6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57AF6A20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7F872D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78F9C604" w14:textId="77777777" w:rsidTr="00ED14A2">
        <w:trPr>
          <w:cantSplit/>
        </w:trPr>
        <w:tc>
          <w:tcPr>
            <w:tcW w:w="3009" w:type="dxa"/>
            <w:vAlign w:val="center"/>
          </w:tcPr>
          <w:p w14:paraId="0F85F6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15DEA70" w14:textId="6E8E4419" w:rsidR="00F36A97" w:rsidRPr="00F36A97" w:rsidRDefault="00835703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AF7A175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03D3B2D3" w14:textId="77777777" w:rsidTr="00ED14A2">
        <w:trPr>
          <w:cantSplit/>
        </w:trPr>
        <w:tc>
          <w:tcPr>
            <w:tcW w:w="3009" w:type="dxa"/>
            <w:vAlign w:val="center"/>
          </w:tcPr>
          <w:p w14:paraId="212E705B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0D9911ED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445173C9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7A95F2F8" w14:textId="77777777" w:rsidTr="00ED14A2">
        <w:trPr>
          <w:cantSplit/>
        </w:trPr>
        <w:tc>
          <w:tcPr>
            <w:tcW w:w="3009" w:type="dxa"/>
            <w:vAlign w:val="center"/>
          </w:tcPr>
          <w:p w14:paraId="6B800318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2903A3A2" w14:textId="2459EF81" w:rsidR="00F36A97" w:rsidRPr="00F36A97" w:rsidRDefault="00670A5B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A957B2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0216491B" w14:textId="3DC822FA" w:rsidR="00554D08" w:rsidRDefault="00554D08" w:rsidP="00554D08">
      <w:pPr>
        <w:pStyle w:val="Heading1"/>
        <w:spacing w:before="280"/>
      </w:pPr>
      <w:r>
        <w:t>S2. Geometry and mesh generation</w:t>
      </w:r>
    </w:p>
    <w:p w14:paraId="2BFF3DC4" w14:textId="77777777" w:rsidR="00554D08" w:rsidRDefault="00554D08" w:rsidP="00554D08">
      <w:pPr>
        <w:pStyle w:val="BodyText"/>
        <w:spacing w:before="0" w:after="120" w:line="276" w:lineRule="auto"/>
        <w:ind w:firstLine="0"/>
        <w:jc w:val="both"/>
      </w:pPr>
      <w:r w:rsidRPr="00430123">
        <w:t>STL implant geometries were converted into tetrahedral finite-element meshes using a Gmsh-based workflow. Adaptive refinement was applied at the Zn-electrolyte interface, and the resulting Zn-electrolyte meshes were exported in FreeFEM/Medit (.mesh) format for all simulations.</w:t>
      </w:r>
      <w:r>
        <w:t xml:space="preserve"> 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Mesh convergence was assessed from the relative error of the predicted mass loss with respect to the reference mesh:</w:t>
      </w:r>
    </w:p>
    <w:p w14:paraId="79F16171" w14:textId="77777777" w:rsidR="00554D08" w:rsidRPr="00377A22" w:rsidRDefault="00554D08" w:rsidP="00554D08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>
      <w:pPr>
        <w:pStyle w:val="BodyText"/>
        <w:spacing w:before="0" w:after="120" w:line="276" w:lineRule="auto"/>
        <w:ind w:firstLine="0"/>
        <w:jc w:val="both"/>
      </w:pPr>
      <w:r>
        <w:t>Table S2 and Figure S3 report the mesh convergence study, and Table S3 compares adaptive and uniform meshes of similar size.</w:t>
      </w:r>
    </w:p>
    <w:p w14:paraId="3830CFC2" w14:textId="515834F4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2481">
        <w:rPr>
          <w:b w:val="0"/>
          <w:sz w:val="20"/>
          <w:szCs w:val="20"/>
        </w:rPr>
        <w:t xml:space="preserve">Mesh convergence study showing the effect of mesh resolution on predicted </w:t>
      </w:r>
      <w:r>
        <w:rPr>
          <w:b w:val="0"/>
          <w:sz w:val="20"/>
          <w:szCs w:val="20"/>
        </w:rPr>
        <w:t>7</w:t>
      </w:r>
      <w:r w:rsidRPr="003A2481">
        <w:rPr>
          <w:b w:val="0"/>
          <w:sz w:val="20"/>
          <w:szCs w:val="20"/>
        </w:rPr>
        <w:t>-day mass loss. Relative errors are calculated with respect to the reference mesh (21.25 million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2A49E840" w14:textId="77777777" w:rsidTr="00125F9F">
        <w:trPr>
          <w:cantSplit/>
          <w:tblHeader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439F187F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497BA3D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274A4C6C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68629DB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290EDBE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705FA6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208399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7395463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1.439</w:t>
            </w:r>
          </w:p>
        </w:tc>
        <w:tc>
          <w:tcPr>
            <w:tcW w:w="2554" w:type="dxa"/>
            <w:noWrap/>
            <w:vAlign w:val="center"/>
          </w:tcPr>
          <w:p w14:paraId="40B2DE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1465.6</w:t>
            </w:r>
          </w:p>
        </w:tc>
      </w:tr>
      <w:tr w:rsidR="00554D08" w:rsidRPr="003347F2" w14:paraId="30FC26A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A16C2A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163627B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369E169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2554" w:type="dxa"/>
            <w:noWrap/>
            <w:vAlign w:val="center"/>
          </w:tcPr>
          <w:p w14:paraId="69D52513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441.4</w:t>
            </w:r>
          </w:p>
        </w:tc>
      </w:tr>
      <w:tr w:rsidR="00554D08" w:rsidRPr="003347F2" w14:paraId="71C0C540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641CA7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1FAC04C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2540963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0.1633</w:t>
            </w:r>
          </w:p>
        </w:tc>
        <w:tc>
          <w:tcPr>
            <w:tcW w:w="2554" w:type="dxa"/>
            <w:noWrap/>
            <w:vAlign w:val="center"/>
          </w:tcPr>
          <w:p w14:paraId="39CFBE3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77.7</w:t>
            </w:r>
          </w:p>
        </w:tc>
      </w:tr>
      <w:tr w:rsidR="00554D08" w:rsidRPr="003347F2" w14:paraId="4D9DDD01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0B5C2B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6A0A15F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1FFA910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0.1208</w:t>
            </w:r>
          </w:p>
        </w:tc>
        <w:tc>
          <w:tcPr>
            <w:tcW w:w="2554" w:type="dxa"/>
            <w:noWrap/>
            <w:vAlign w:val="center"/>
          </w:tcPr>
          <w:p w14:paraId="6A9ABEFD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31.4</w:t>
            </w:r>
          </w:p>
        </w:tc>
      </w:tr>
      <w:tr w:rsidR="00554D08" w:rsidRPr="003347F2" w14:paraId="27C1E6B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C345B3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3F9B028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8BCB07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0.1002</w:t>
            </w:r>
          </w:p>
        </w:tc>
        <w:tc>
          <w:tcPr>
            <w:tcW w:w="2554" w:type="dxa"/>
            <w:noWrap/>
            <w:vAlign w:val="center"/>
          </w:tcPr>
          <w:p w14:paraId="39CA7A4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9.0</w:t>
            </w:r>
          </w:p>
        </w:tc>
      </w:tr>
      <w:tr w:rsidR="00554D08" w:rsidRPr="003347F2" w14:paraId="5D68A52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BCA3B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63E0936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983583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0.0927</w:t>
            </w:r>
          </w:p>
        </w:tc>
        <w:tc>
          <w:tcPr>
            <w:tcW w:w="2554" w:type="dxa"/>
            <w:noWrap/>
            <w:vAlign w:val="center"/>
          </w:tcPr>
          <w:p w14:paraId="7EDC1D9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0.82</w:t>
            </w:r>
          </w:p>
        </w:tc>
      </w:tr>
      <w:tr w:rsidR="00554D08" w:rsidRPr="003347F2" w14:paraId="7073DEDB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12951ECB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lastRenderedPageBreak/>
              <w:t>Reference</w:t>
            </w:r>
          </w:p>
        </w:tc>
        <w:tc>
          <w:tcPr>
            <w:tcW w:w="2144" w:type="dxa"/>
            <w:noWrap/>
            <w:vAlign w:val="center"/>
          </w:tcPr>
          <w:p w14:paraId="7DCAFFC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2171" w:type="dxa"/>
            <w:noWrap/>
            <w:vAlign w:val="center"/>
          </w:tcPr>
          <w:p w14:paraId="6FC256D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2554" w:type="dxa"/>
            <w:noWrap/>
            <w:vAlign w:val="center"/>
          </w:tcPr>
          <w:p w14:paraId="0D8989B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3C4D4CB3" w14:textId="2BF08F3E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B01B82">
        <w:rPr>
          <w:b w:val="0"/>
          <w:sz w:val="20"/>
          <w:szCs w:val="20"/>
        </w:rPr>
        <w:t>Comparison between adaptive and uniform meshes at approximately 800,000 elements.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19213BCC" w14:textId="77777777" w:rsidTr="00125F9F">
        <w:trPr>
          <w:cantSplit/>
          <w:tblHeader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7C84371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7742FC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5FEFA12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706B7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27C7054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6CE91F84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2AFFC8E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Uniform Mesh</w:t>
            </w:r>
          </w:p>
        </w:tc>
        <w:tc>
          <w:tcPr>
            <w:tcW w:w="1805" w:type="dxa"/>
            <w:noWrap/>
            <w:vAlign w:val="center"/>
          </w:tcPr>
          <w:p w14:paraId="31CAAD1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799,520</w:t>
            </w:r>
          </w:p>
        </w:tc>
        <w:tc>
          <w:tcPr>
            <w:tcW w:w="1805" w:type="dxa"/>
            <w:noWrap/>
            <w:vAlign w:val="center"/>
          </w:tcPr>
          <w:p w14:paraId="47602D0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2.8561</w:t>
            </w:r>
          </w:p>
        </w:tc>
        <w:tc>
          <w:tcPr>
            <w:tcW w:w="1805" w:type="dxa"/>
            <w:noWrap/>
            <w:vAlign w:val="center"/>
          </w:tcPr>
          <w:p w14:paraId="4FABD97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3011</w:t>
            </w:r>
          </w:p>
        </w:tc>
        <w:tc>
          <w:tcPr>
            <w:tcW w:w="1805" w:type="dxa"/>
            <w:noWrap/>
            <w:vAlign w:val="center"/>
          </w:tcPr>
          <w:p w14:paraId="0EC3142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586963E1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466AF4C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Adaptive Mesh</w:t>
            </w:r>
          </w:p>
        </w:tc>
        <w:tc>
          <w:tcPr>
            <w:tcW w:w="1805" w:type="dxa"/>
            <w:noWrap/>
            <w:vAlign w:val="center"/>
          </w:tcPr>
          <w:p w14:paraId="103C55E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75B729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1805" w:type="dxa"/>
            <w:noWrap/>
            <w:vAlign w:val="center"/>
          </w:tcPr>
          <w:p w14:paraId="0ED206C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441.6</w:t>
            </w:r>
          </w:p>
        </w:tc>
        <w:tc>
          <w:tcPr>
            <w:tcW w:w="1805" w:type="dxa"/>
            <w:noWrap/>
            <w:vAlign w:val="center"/>
          </w:tcPr>
          <w:p w14:paraId="2A59F7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0.8532</w:t>
            </w:r>
          </w:p>
        </w:tc>
      </w:tr>
      <w:tr w:rsidR="00554D08" w:rsidRPr="000212DA" w14:paraId="62724515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5E299ADC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 Mesh</w:t>
            </w:r>
          </w:p>
        </w:tc>
        <w:tc>
          <w:tcPr>
            <w:tcW w:w="1805" w:type="dxa"/>
            <w:noWrap/>
            <w:vAlign w:val="center"/>
          </w:tcPr>
          <w:p w14:paraId="7D26C7E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1805" w:type="dxa"/>
            <w:noWrap/>
            <w:vAlign w:val="center"/>
          </w:tcPr>
          <w:p w14:paraId="53CEFA66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1805" w:type="dxa"/>
            <w:noWrap/>
            <w:vAlign w:val="center"/>
          </w:tcPr>
          <w:p w14:paraId="4668F80A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4400816E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740FB626" w14:textId="23FD9480" w:rsidR="00554D08" w:rsidRDefault="00B745C1" w:rsidP="00554D08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236A513" wp14:editId="00F81294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D315" w14:textId="77777777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E6EEB">
        <w:rPr>
          <w:b w:val="0"/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S4 shows the geometries and finite-element domains used in the simulations.</w:t>
      </w:r>
    </w:p>
    <w:p w14:paraId="74314DF5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A7DD9F" wp14:editId="1AEDEAC4">
            <wp:extent cx="5731510" cy="439991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B3F4" w14:textId="3FD54ACF" w:rsidR="00554D08" w:rsidRPr="003A718A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3A718A">
        <w:rPr>
          <w:b w:val="0"/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73788F03" w14:textId="66DB70A3" w:rsidR="00554D08" w:rsidRDefault="00554D08" w:rsidP="00554D08">
      <w:pPr>
        <w:pStyle w:val="Heading1"/>
        <w:spacing w:after="0"/>
      </w:pPr>
      <w:r>
        <w:t>S3. Simulation settings and parameters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S4 lists the mesh, numerical integration, software and boundary-condition settings used for the disc calibration, disc validation and stent simulations.</w:t>
      </w:r>
    </w:p>
    <w:p w14:paraId="73135954" w14:textId="659FCE4E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65079">
        <w:rPr>
          <w:b w:val="0"/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ADD8490" w14:textId="77777777" w:rsidTr="005F74D3">
        <w:trPr>
          <w:cantSplit/>
          <w:tblHeader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4856D37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45FA6D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334753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52607E6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122A7D04" w14:textId="77777777" w:rsidTr="005F74D3">
        <w:trPr>
          <w:cantSplit/>
        </w:trPr>
        <w:tc>
          <w:tcPr>
            <w:tcW w:w="2829" w:type="dxa"/>
            <w:vAlign w:val="center"/>
          </w:tcPr>
          <w:p w14:paraId="7F33780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74909E1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B0D30B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412D96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1ACC511D" w14:textId="77777777" w:rsidTr="005F74D3">
        <w:trPr>
          <w:cantSplit/>
        </w:trPr>
        <w:tc>
          <w:tcPr>
            <w:tcW w:w="2829" w:type="dxa"/>
            <w:vAlign w:val="center"/>
          </w:tcPr>
          <w:p w14:paraId="030AB20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4C5CC3D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1DD29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332E85B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19556096" w14:textId="77777777" w:rsidTr="005F74D3">
        <w:trPr>
          <w:cantSplit/>
        </w:trPr>
        <w:tc>
          <w:tcPr>
            <w:tcW w:w="2829" w:type="dxa"/>
            <w:vAlign w:val="center"/>
          </w:tcPr>
          <w:p w14:paraId="2B508F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4CA352B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30A8B23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52C98DE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7835D49A" w14:textId="77777777" w:rsidTr="005F74D3">
        <w:trPr>
          <w:cantSplit/>
        </w:trPr>
        <w:tc>
          <w:tcPr>
            <w:tcW w:w="2829" w:type="dxa"/>
            <w:vAlign w:val="center"/>
          </w:tcPr>
          <w:p w14:paraId="7B671E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3E0AF8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45E0068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665E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B3298C3" w14:textId="77777777" w:rsidTr="005F74D3">
        <w:trPr>
          <w:cantSplit/>
        </w:trPr>
        <w:tc>
          <w:tcPr>
            <w:tcW w:w="2829" w:type="dxa"/>
            <w:vAlign w:val="center"/>
          </w:tcPr>
          <w:p w14:paraId="442A16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1D9F9E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0FA265A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6422EED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48F61E65" w14:textId="77777777" w:rsidTr="005F74D3">
        <w:trPr>
          <w:cantSplit/>
        </w:trPr>
        <w:tc>
          <w:tcPr>
            <w:tcW w:w="2829" w:type="dxa"/>
            <w:vAlign w:val="center"/>
          </w:tcPr>
          <w:p w14:paraId="4F1B29B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601BFFC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D30A5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4DC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56FBAA88" w14:textId="77777777" w:rsidTr="005F74D3">
        <w:trPr>
          <w:cantSplit/>
        </w:trPr>
        <w:tc>
          <w:tcPr>
            <w:tcW w:w="2829" w:type="dxa"/>
            <w:vAlign w:val="center"/>
          </w:tcPr>
          <w:p w14:paraId="24F8E14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AE66F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547C98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5E0A94C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52CB5FE8" w14:textId="77777777" w:rsidTr="005F74D3">
        <w:trPr>
          <w:cantSplit/>
        </w:trPr>
        <w:tc>
          <w:tcPr>
            <w:tcW w:w="2829" w:type="dxa"/>
            <w:vAlign w:val="center"/>
          </w:tcPr>
          <w:p w14:paraId="0FC9FB6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52BD4ECA" w14:textId="03948B3F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3848F12" w14:textId="4A5C7683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F7190C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12.26 mm²</w:t>
            </w:r>
          </w:p>
        </w:tc>
      </w:tr>
      <w:tr w:rsidR="00554D08" w:rsidRPr="005D7A85" w14:paraId="299A6C8E" w14:textId="77777777" w:rsidTr="005F74D3">
        <w:trPr>
          <w:cantSplit/>
        </w:trPr>
        <w:tc>
          <w:tcPr>
            <w:tcW w:w="2829" w:type="dxa"/>
            <w:vAlign w:val="center"/>
          </w:tcPr>
          <w:p w14:paraId="5F2B23A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15042F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5CA0817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1494C01A" w14:textId="4624B98B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899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2F9E110E" w14:textId="77777777" w:rsidTr="005F74D3">
        <w:trPr>
          <w:cantSplit/>
        </w:trPr>
        <w:tc>
          <w:tcPr>
            <w:tcW w:w="2829" w:type="dxa"/>
            <w:vAlign w:val="center"/>
          </w:tcPr>
          <w:p w14:paraId="244345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43CEF986" w14:textId="75789E6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76476D55" w14:textId="05C68F4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2D3A460C" w14:textId="781113BC" w:rsidR="00554D08" w:rsidRPr="0017409B" w:rsidRDefault="007E02D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13.6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566D2226" w14:textId="77777777" w:rsidTr="005F74D3">
        <w:trPr>
          <w:cantSplit/>
        </w:trPr>
        <w:tc>
          <w:tcPr>
            <w:tcW w:w="2829" w:type="dxa"/>
            <w:vAlign w:val="center"/>
          </w:tcPr>
          <w:p w14:paraId="5E00FFA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675BB08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438F501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BFFFBD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6844270" w14:textId="77777777" w:rsidTr="005F74D3">
        <w:trPr>
          <w:cantSplit/>
        </w:trPr>
        <w:tc>
          <w:tcPr>
            <w:tcW w:w="2829" w:type="dxa"/>
            <w:vAlign w:val="center"/>
          </w:tcPr>
          <w:p w14:paraId="33C3EAB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7E1133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4FDCCF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47ADED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65D3C1A1" w14:textId="77777777" w:rsidTr="005F74D3">
        <w:trPr>
          <w:cantSplit/>
        </w:trPr>
        <w:tc>
          <w:tcPr>
            <w:tcW w:w="2829" w:type="dxa"/>
            <w:vAlign w:val="center"/>
          </w:tcPr>
          <w:p w14:paraId="4AF5CA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525949F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4677054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5F128DB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18EA581F" w14:textId="77777777" w:rsidTr="005F74D3">
        <w:trPr>
          <w:cantSplit/>
        </w:trPr>
        <w:tc>
          <w:tcPr>
            <w:tcW w:w="2829" w:type="dxa"/>
            <w:vAlign w:val="center"/>
          </w:tcPr>
          <w:p w14:paraId="07B82C0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Minimum element size</w:t>
            </w:r>
          </w:p>
        </w:tc>
        <w:tc>
          <w:tcPr>
            <w:tcW w:w="2066" w:type="dxa"/>
            <w:vAlign w:val="center"/>
          </w:tcPr>
          <w:p w14:paraId="3F7D1F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3E2E0BA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781C83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0.01 mm</w:t>
            </w:r>
          </w:p>
        </w:tc>
      </w:tr>
      <w:tr w:rsidR="00554D08" w:rsidRPr="005D7A85" w14:paraId="0BB675CD" w14:textId="77777777" w:rsidTr="005F74D3">
        <w:trPr>
          <w:cantSplit/>
        </w:trPr>
        <w:tc>
          <w:tcPr>
            <w:tcW w:w="2829" w:type="dxa"/>
            <w:vAlign w:val="center"/>
          </w:tcPr>
          <w:p w14:paraId="71435FF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40C4BA1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5623722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28DEF05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376D3449" w14:textId="77777777" w:rsidTr="005F74D3">
        <w:trPr>
          <w:cantSplit/>
        </w:trPr>
        <w:tc>
          <w:tcPr>
            <w:tcW w:w="2829" w:type="dxa"/>
            <w:vAlign w:val="center"/>
          </w:tcPr>
          <w:p w14:paraId="71D1DE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B45B1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5BB4824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36F6DC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07320C7D" w14:textId="77777777" w:rsidTr="005F74D3">
        <w:trPr>
          <w:cantSplit/>
        </w:trPr>
        <w:tc>
          <w:tcPr>
            <w:tcW w:w="2829" w:type="dxa"/>
            <w:vAlign w:val="center"/>
          </w:tcPr>
          <w:p w14:paraId="737B99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67C094E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21DCB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C139B1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E3884E8" w14:textId="77777777" w:rsidTr="005F74D3">
        <w:trPr>
          <w:cantSplit/>
        </w:trPr>
        <w:tc>
          <w:tcPr>
            <w:tcW w:w="2829" w:type="dxa"/>
            <w:vAlign w:val="center"/>
          </w:tcPr>
          <w:p w14:paraId="2615DB4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2F8ABB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785406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4A7D26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9A85C8A" w14:textId="77777777" w:rsidTr="005F74D3">
        <w:trPr>
          <w:cantSplit/>
        </w:trPr>
        <w:tc>
          <w:tcPr>
            <w:tcW w:w="2829" w:type="dxa"/>
            <w:vAlign w:val="center"/>
          </w:tcPr>
          <w:p w14:paraId="194F99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1DC2142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398B1D6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28F35248" w14:textId="1C8B8031" w:rsidR="00554D08" w:rsidRPr="0017409B" w:rsidRDefault="007E1315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C503FDF" w14:textId="77777777" w:rsidTr="005F74D3">
        <w:trPr>
          <w:cantSplit/>
        </w:trPr>
        <w:tc>
          <w:tcPr>
            <w:tcW w:w="2829" w:type="dxa"/>
            <w:vAlign w:val="center"/>
          </w:tcPr>
          <w:p w14:paraId="6AF2D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0272CC9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091E9A5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7613AFE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45749529" w14:textId="77777777" w:rsidTr="005F74D3">
        <w:trPr>
          <w:cantSplit/>
        </w:trPr>
        <w:tc>
          <w:tcPr>
            <w:tcW w:w="2829" w:type="dxa"/>
            <w:vAlign w:val="center"/>
          </w:tcPr>
          <w:p w14:paraId="5DAF2E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249B5C4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730E31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983EF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C35459E" w14:textId="77777777" w:rsidTr="005F74D3">
        <w:trPr>
          <w:cantSplit/>
        </w:trPr>
        <w:tc>
          <w:tcPr>
            <w:tcW w:w="2829" w:type="dxa"/>
            <w:vAlign w:val="center"/>
          </w:tcPr>
          <w:p w14:paraId="248B2EA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0A89473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4F7E93B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45F6129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06D46615" w14:textId="77777777" w:rsidTr="005F74D3">
        <w:trPr>
          <w:cantSplit/>
        </w:trPr>
        <w:tc>
          <w:tcPr>
            <w:tcW w:w="2829" w:type="dxa"/>
            <w:vAlign w:val="center"/>
          </w:tcPr>
          <w:p w14:paraId="72BC6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40FF405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6" w:type="dxa"/>
            <w:vAlign w:val="center"/>
          </w:tcPr>
          <w:p w14:paraId="1B54378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E2FB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1E304B27" w14:textId="77777777" w:rsidTr="005F74D3">
        <w:trPr>
          <w:cantSplit/>
        </w:trPr>
        <w:tc>
          <w:tcPr>
            <w:tcW w:w="2829" w:type="dxa"/>
            <w:vAlign w:val="center"/>
          </w:tcPr>
          <w:p w14:paraId="1D5CF3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11E993A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48D288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4FCA47C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0057E467" w14:textId="77777777" w:rsidTr="005F74D3">
        <w:trPr>
          <w:cantSplit/>
        </w:trPr>
        <w:tc>
          <w:tcPr>
            <w:tcW w:w="2829" w:type="dxa"/>
            <w:vAlign w:val="center"/>
          </w:tcPr>
          <w:p w14:paraId="3DBFD0F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02BF62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033C38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384669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8B971E7" w14:textId="77777777" w:rsidTr="005F74D3">
        <w:trPr>
          <w:cantSplit/>
        </w:trPr>
        <w:tc>
          <w:tcPr>
            <w:tcW w:w="2829" w:type="dxa"/>
            <w:vAlign w:val="center"/>
          </w:tcPr>
          <w:p w14:paraId="46E1FA3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647FB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727BB9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0F7EA62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2F2BB0A6" w14:textId="77777777" w:rsidTr="005F74D3">
        <w:trPr>
          <w:cantSplit/>
        </w:trPr>
        <w:tc>
          <w:tcPr>
            <w:tcW w:w="2829" w:type="dxa"/>
            <w:vAlign w:val="center"/>
          </w:tcPr>
          <w:p w14:paraId="4D5359D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11A9C24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388DFFD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3A9CDF3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3B96AAFE" w14:textId="77777777" w:rsidTr="005F74D3">
        <w:trPr>
          <w:cantSplit/>
        </w:trPr>
        <w:tc>
          <w:tcPr>
            <w:tcW w:w="2829" w:type="dxa"/>
            <w:vAlign w:val="center"/>
          </w:tcPr>
          <w:p w14:paraId="3A24933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283086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8ABE26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2518984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22A7F745" w14:textId="77777777" w:rsidTr="005F74D3">
        <w:trPr>
          <w:cantSplit/>
        </w:trPr>
        <w:tc>
          <w:tcPr>
            <w:tcW w:w="2829" w:type="dxa"/>
            <w:vAlign w:val="center"/>
          </w:tcPr>
          <w:p w14:paraId="1E2AABE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661106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3636DA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17B4F8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43913169" w14:textId="77777777" w:rsidTr="005F74D3">
        <w:trPr>
          <w:cantSplit/>
        </w:trPr>
        <w:tc>
          <w:tcPr>
            <w:tcW w:w="2829" w:type="dxa"/>
            <w:vAlign w:val="center"/>
          </w:tcPr>
          <w:p w14:paraId="20C5CF2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5FA8269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6" w:type="dxa"/>
            <w:vAlign w:val="center"/>
          </w:tcPr>
          <w:p w14:paraId="50DE380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5" w:type="dxa"/>
            <w:vAlign w:val="center"/>
          </w:tcPr>
          <w:p w14:paraId="7817C94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</w:tr>
      <w:tr w:rsidR="00554D08" w:rsidRPr="005D7A85" w14:paraId="28BD45A4" w14:textId="77777777" w:rsidTr="005F74D3">
        <w:trPr>
          <w:cantSplit/>
        </w:trPr>
        <w:tc>
          <w:tcPr>
            <w:tcW w:w="2829" w:type="dxa"/>
            <w:vAlign w:val="center"/>
          </w:tcPr>
          <w:p w14:paraId="34215EC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7F3E367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10BC26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1D2B7F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342D366D" w14:textId="77777777" w:rsidTr="005F74D3">
        <w:trPr>
          <w:cantSplit/>
        </w:trPr>
        <w:tc>
          <w:tcPr>
            <w:tcW w:w="2829" w:type="dxa"/>
            <w:vAlign w:val="center"/>
          </w:tcPr>
          <w:p w14:paraId="00256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3730BA6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36C13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43EB1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12DF57E" w14:textId="77777777" w:rsidTr="005F74D3">
        <w:trPr>
          <w:cantSplit/>
        </w:trPr>
        <w:tc>
          <w:tcPr>
            <w:tcW w:w="2829" w:type="dxa"/>
            <w:vAlign w:val="center"/>
          </w:tcPr>
          <w:p w14:paraId="458DB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68D058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1BE8FF6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49B343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33044EF9" w14:textId="77777777" w:rsidTr="005F74D3">
        <w:trPr>
          <w:cantSplit/>
        </w:trPr>
        <w:tc>
          <w:tcPr>
            <w:tcW w:w="2829" w:type="dxa"/>
            <w:vAlign w:val="center"/>
          </w:tcPr>
          <w:p w14:paraId="3B2FDD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365A2B8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3C4560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4CA00C4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5B68AF8A" w14:textId="77777777" w:rsidTr="005F74D3">
        <w:trPr>
          <w:cantSplit/>
        </w:trPr>
        <w:tc>
          <w:tcPr>
            <w:tcW w:w="2829" w:type="dxa"/>
            <w:vAlign w:val="center"/>
          </w:tcPr>
          <w:p w14:paraId="475663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5820C7D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7C9FA94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142E9DC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62638B06" w14:textId="349B74E4" w:rsidR="00554D08" w:rsidRDefault="00554D08" w:rsidP="00554D08">
      <w:pPr>
        <w:pStyle w:val="Heading1"/>
        <w:spacing w:after="0" w:before="280"/>
      </w:pPr>
      <w:r>
        <w:t>S4. Sensitivity analysis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S5 lists the parameters varied in the Morris analysis and Table S6 gives the design settings.</w:t>
      </w:r>
    </w:p>
    <w:p w14:paraId="1FD953C7" w14:textId="0FF1805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8173B">
        <w:rPr>
          <w:b w:val="0"/>
          <w:sz w:val="20"/>
          <w:szCs w:val="20"/>
        </w:rPr>
        <w:t xml:space="preserve"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315C31A6" w14:textId="77777777" w:rsidTr="00433030">
        <w:trPr>
          <w:cantSplit/>
          <w:tblHeader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6F6FB0AA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2AD94C84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6D592703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103A8DBC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33031140" w14:textId="77777777" w:rsidTr="00433030">
        <w:trPr>
          <w:cantSplit/>
        </w:trPr>
        <w:tc>
          <w:tcPr>
            <w:tcW w:w="3918" w:type="dxa"/>
            <w:vAlign w:val="center"/>
          </w:tcPr>
          <w:p w14:paraId="38E98AA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7279820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A7E6AC9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1ED380D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D14D417" w14:textId="77777777" w:rsidTr="00433030">
        <w:trPr>
          <w:cantSplit/>
        </w:trPr>
        <w:tc>
          <w:tcPr>
            <w:tcW w:w="3918" w:type="dxa"/>
            <w:vAlign w:val="center"/>
          </w:tcPr>
          <w:p w14:paraId="17B986D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4377921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5D2D6DD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DB2B3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6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-2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8B19288" w14:textId="77777777" w:rsidTr="00433030">
        <w:trPr>
          <w:cantSplit/>
        </w:trPr>
        <w:tc>
          <w:tcPr>
            <w:tcW w:w="3918" w:type="dxa"/>
            <w:vAlign w:val="center"/>
          </w:tcPr>
          <w:p w14:paraId="43192F4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3838789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6977D82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35AB53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34D28863" w14:textId="77777777" w:rsidTr="00433030">
        <w:trPr>
          <w:cantSplit/>
        </w:trPr>
        <w:tc>
          <w:tcPr>
            <w:tcW w:w="3918" w:type="dxa"/>
            <w:vAlign w:val="center"/>
          </w:tcPr>
          <w:p w14:paraId="1F4F2F5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3BD8F95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DE1A64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24B452A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23051B2" w14:textId="77777777" w:rsidTr="00433030">
        <w:trPr>
          <w:cantSplit/>
        </w:trPr>
        <w:tc>
          <w:tcPr>
            <w:tcW w:w="3918" w:type="dxa"/>
            <w:vAlign w:val="center"/>
          </w:tcPr>
          <w:p w14:paraId="0BC703A7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6CE3CE4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A6E0F06" w14:textId="77777777" w:rsidR="00554D08" w:rsidRPr="00A26FEC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6B435C1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03E282A8" w14:textId="77777777" w:rsidTr="00433030">
        <w:trPr>
          <w:cantSplit/>
        </w:trPr>
        <w:tc>
          <w:tcPr>
            <w:tcW w:w="3918" w:type="dxa"/>
            <w:vAlign w:val="center"/>
          </w:tcPr>
          <w:p w14:paraId="62BAD8D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351D1B9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8B7B91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7B443CE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D3F50C9" w14:textId="77777777" w:rsidTr="00433030">
        <w:trPr>
          <w:cantSplit/>
        </w:trPr>
        <w:tc>
          <w:tcPr>
            <w:tcW w:w="3918" w:type="dxa"/>
            <w:vAlign w:val="center"/>
          </w:tcPr>
          <w:p w14:paraId="23BB14D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5B1A48B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1A64E74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2C0880B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A0CD907" w14:textId="77777777" w:rsidTr="00433030">
        <w:trPr>
          <w:cantSplit/>
        </w:trPr>
        <w:tc>
          <w:tcPr>
            <w:tcW w:w="3918" w:type="dxa"/>
            <w:vAlign w:val="center"/>
          </w:tcPr>
          <w:p w14:paraId="610B1A77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02033335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D021EA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7EB1E78C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41E5E655" w14:textId="69DA9C09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1412">
        <w:rPr>
          <w:b w:val="0"/>
          <w:sz w:val="20"/>
          <w:szCs w:val="20"/>
        </w:rPr>
        <w:t xml:space="preserve"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64400F77" w14:textId="77777777" w:rsidTr="00433030">
        <w:trPr>
          <w:cantSplit/>
          <w:tblHeader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2BC22086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51667FC2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49C07096" w14:textId="77777777" w:rsidTr="00433030">
        <w:trPr>
          <w:cantSplit/>
        </w:trPr>
        <w:tc>
          <w:tcPr>
            <w:tcW w:w="4509" w:type="dxa"/>
            <w:vAlign w:val="center"/>
          </w:tcPr>
          <w:p w14:paraId="089E27D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366B344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79C4D776" w14:textId="77777777" w:rsidTr="00433030">
        <w:trPr>
          <w:cantSplit/>
        </w:trPr>
        <w:tc>
          <w:tcPr>
            <w:tcW w:w="4509" w:type="dxa"/>
            <w:vAlign w:val="center"/>
          </w:tcPr>
          <w:p w14:paraId="76AC15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42C424C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0763FEC" w14:textId="77777777" w:rsidTr="00433030">
        <w:trPr>
          <w:cantSplit/>
        </w:trPr>
        <w:tc>
          <w:tcPr>
            <w:tcW w:w="4509" w:type="dxa"/>
            <w:vAlign w:val="center"/>
          </w:tcPr>
          <w:p w14:paraId="0F8AC7E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A238A1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1265A1E" w14:textId="77777777" w:rsidTr="00433030">
        <w:trPr>
          <w:cantSplit/>
        </w:trPr>
        <w:tc>
          <w:tcPr>
            <w:tcW w:w="4509" w:type="dxa"/>
            <w:vAlign w:val="center"/>
          </w:tcPr>
          <w:p w14:paraId="737EFBD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990C01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10B41B33" w14:textId="77777777" w:rsidTr="00433030">
        <w:trPr>
          <w:cantSplit/>
        </w:trPr>
        <w:tc>
          <w:tcPr>
            <w:tcW w:w="4509" w:type="dxa"/>
            <w:vAlign w:val="center"/>
          </w:tcPr>
          <w:p w14:paraId="675C255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511389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61FB2880" w14:textId="77777777" w:rsidTr="00433030">
        <w:trPr>
          <w:cantSplit/>
        </w:trPr>
        <w:tc>
          <w:tcPr>
            <w:tcW w:w="4509" w:type="dxa"/>
            <w:vAlign w:val="center"/>
          </w:tcPr>
          <w:p w14:paraId="6884250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308E666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15A40171" w14:textId="77777777" w:rsidTr="00433030">
        <w:trPr>
          <w:cantSplit/>
        </w:trPr>
        <w:tc>
          <w:tcPr>
            <w:tcW w:w="4509" w:type="dxa"/>
            <w:vAlign w:val="center"/>
          </w:tcPr>
          <w:p w14:paraId="7B4DA158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6C33ADEB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Figure S5 shows how the sensitivity indices evolve during the simulated degradation.</w:t>
      </w:r>
    </w:p>
    <w:p w14:paraId="2D026940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drawing>
          <wp:inline distT="0" distB="0" distL="0" distR="0" wp14:anchorId="5F454D5C" wp14:editId="00B5BA50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C8767" w14:textId="58C947AC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D3074">
        <w:rPr>
          <w:b w:val="0"/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b w:val="0"/>
          <w:sz w:val="20"/>
          <w:szCs w:val="20"/>
        </w:rPr>
        <w:t>throughout the simulation period</w:t>
      </w:r>
      <w:r w:rsidRPr="00897B3B">
        <w:rPr>
          <w:b w:val="0"/>
          <w:sz w:val="20"/>
          <w:szCs w:val="20"/>
        </w:rPr>
        <w:t>.</w:t>
      </w:r>
    </w:p>
    <w:p w14:paraId="3498A6A1" w14:textId="69AC74D1" w:rsidR="005D7A85" w:rsidRDefault="005F4719" w:rsidP="00BE6B79">
      <w:pPr>
        <w:pStyle w:val="Heading1"/>
      </w:pPr>
      <w:r>
        <w:t>S5. Bayesian calibration and validation</w:t>
      </w:r>
    </w:p>
    <w:p w14:paraId="149DE31D" w14:textId="1A44F5E6" w:rsidR="00DA0507" w:rsidRDefault="00DA0507" w:rsidP="00DA0507">
      <w:pPr>
        <w:pStyle w:val="BodyText"/>
        <w:spacing w:before="0" w:after="120" w:line="276" w:lineRule="auto"/>
        <w:ind w:firstLine="0"/>
        <w:jc w:val="both"/>
      </w:pPr>
      <w:r w:rsidRPr="00DA0507">
        <w:t>Optimal parameters were identified by minimizing the RMSE between predicted and literature-reported 14-day mass-loss measurements.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The RMSE was calculated as:</w:t>
      </w:r>
    </w:p>
    <w:p w14:paraId="4E810149" w14:textId="586753FA" w:rsidR="00377A22" w:rsidRPr="00542C5D" w:rsidRDefault="00457C34" w:rsidP="00377A22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>
      <w:pPr>
        <w:pStyle w:val="BodyText"/>
        <w:spacing w:before="0" w:after="120" w:line="276" w:lineRule="auto"/>
        <w:ind w:firstLine="0"/>
        <w:jc w:val="both"/>
      </w:pPr>
      <w:r>
        <w:t>Table S7 lists the literature mass-loss data used for calibration.</w:t>
      </w:r>
    </w:p>
    <w:p w14:paraId="799221B9" w14:textId="014D6F2C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>Literature mass-loss data used for Bayesian calibration</w:t>
      </w:r>
      <w:r>
        <w:rPr>
          <w:b w:val="0"/>
          <w:sz w:val="20"/>
          <w:szCs w:val="20"/>
        </w:rPr>
        <w:t xml:space="preserve">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0636B2C5" w14:textId="77777777" w:rsidTr="00927926">
        <w:trPr>
          <w:cantSplit/>
          <w:tblHeader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7624B030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7888168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7D5F57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5DB2748C" w14:textId="77777777" w:rsidTr="00927926">
        <w:trPr>
          <w:cantSplit/>
        </w:trPr>
        <w:tc>
          <w:tcPr>
            <w:tcW w:w="2026" w:type="dxa"/>
            <w:vAlign w:val="center"/>
          </w:tcPr>
          <w:p w14:paraId="7B74EF8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5016F91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1C5E035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14B74360" w14:textId="77777777" w:rsidTr="00927926">
        <w:trPr>
          <w:cantSplit/>
        </w:trPr>
        <w:tc>
          <w:tcPr>
            <w:tcW w:w="2026" w:type="dxa"/>
            <w:vAlign w:val="center"/>
          </w:tcPr>
          <w:p w14:paraId="222E003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59CA2F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3C97557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2E145D67" w14:textId="77777777" w:rsidTr="00927926">
        <w:trPr>
          <w:cantSplit/>
        </w:trPr>
        <w:tc>
          <w:tcPr>
            <w:tcW w:w="2026" w:type="dxa"/>
            <w:vAlign w:val="center"/>
          </w:tcPr>
          <w:p w14:paraId="55A07EB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092AC95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497BD12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7F0CA1F2" w14:textId="77777777" w:rsidTr="00927926">
        <w:trPr>
          <w:cantSplit/>
        </w:trPr>
        <w:tc>
          <w:tcPr>
            <w:tcW w:w="2026" w:type="dxa"/>
            <w:vAlign w:val="center"/>
          </w:tcPr>
          <w:p w14:paraId="5E4FF8C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3D07EB9F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73E6F9D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C98CB01" w14:textId="77777777" w:rsidTr="00927926">
        <w:trPr>
          <w:cantSplit/>
        </w:trPr>
        <w:tc>
          <w:tcPr>
            <w:tcW w:w="2026" w:type="dxa"/>
            <w:vAlign w:val="center"/>
          </w:tcPr>
          <w:p w14:paraId="22ADBB2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7DF077F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0D381C0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4139ABE9" w14:textId="77777777" w:rsidTr="00927926">
        <w:trPr>
          <w:cantSplit/>
        </w:trPr>
        <w:tc>
          <w:tcPr>
            <w:tcW w:w="2026" w:type="dxa"/>
            <w:vAlign w:val="center"/>
          </w:tcPr>
          <w:p w14:paraId="4CB0CC9D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35A6886A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50CC1B2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Tables S8 and S9 and Figure S6 compare the calibrated model with the literature data.</w:t>
      </w:r>
    </w:p>
    <w:p w14:paraId="723FF065" w14:textId="6A85DA0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 xml:space="preserve">Literature </w:t>
      </w:r>
      <w:r>
        <w:rPr>
          <w:b w:val="0"/>
          <w:sz w:val="20"/>
          <w:szCs w:val="20"/>
        </w:rPr>
        <w:t>Zn dissolution and pH data used for validation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2674F44" w14:textId="77777777" w:rsidTr="00927926">
        <w:trPr>
          <w:cantSplit/>
          <w:tblHeader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19F64FF9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1966D1E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188F91F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6DE8A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5EB79FF3" w14:textId="77777777" w:rsidTr="00927926">
        <w:trPr>
          <w:cantSplit/>
        </w:trPr>
        <w:tc>
          <w:tcPr>
            <w:tcW w:w="1307" w:type="dxa"/>
            <w:vAlign w:val="center"/>
          </w:tcPr>
          <w:p w14:paraId="4058ADA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250AEA9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2ED64D3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6E5C1C53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5ED1EC21" w14:textId="77777777" w:rsidTr="00927926">
        <w:trPr>
          <w:cantSplit/>
        </w:trPr>
        <w:tc>
          <w:tcPr>
            <w:tcW w:w="1307" w:type="dxa"/>
            <w:vAlign w:val="center"/>
          </w:tcPr>
          <w:p w14:paraId="45801A9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5E8939F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5180D50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567843E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FE149EE" w14:textId="77777777" w:rsidTr="00927926">
        <w:trPr>
          <w:cantSplit/>
        </w:trPr>
        <w:tc>
          <w:tcPr>
            <w:tcW w:w="1307" w:type="dxa"/>
            <w:vAlign w:val="center"/>
          </w:tcPr>
          <w:p w14:paraId="365C877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16C5425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288EA4E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0357F1BB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5FC388D0" w14:textId="77777777" w:rsidTr="00927926">
        <w:trPr>
          <w:cantSplit/>
        </w:trPr>
        <w:tc>
          <w:tcPr>
            <w:tcW w:w="1307" w:type="dxa"/>
            <w:vAlign w:val="center"/>
          </w:tcPr>
          <w:p w14:paraId="60DE15B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42F4CB2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44235D2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1BBA93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03EA983C" w14:textId="77777777" w:rsidTr="00927926">
        <w:trPr>
          <w:cantSplit/>
        </w:trPr>
        <w:tc>
          <w:tcPr>
            <w:tcW w:w="1307" w:type="dxa"/>
            <w:vAlign w:val="center"/>
          </w:tcPr>
          <w:p w14:paraId="6B647FC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09861A6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78AFD507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0C8C78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1C00CB42" w14:textId="77777777" w:rsidTr="00927926">
        <w:trPr>
          <w:cantSplit/>
        </w:trPr>
        <w:tc>
          <w:tcPr>
            <w:tcW w:w="1307" w:type="dxa"/>
            <w:vAlign w:val="center"/>
          </w:tcPr>
          <w:p w14:paraId="59DEF962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5A11F84C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E6F5153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0F8FD59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7A6424DE" w14:textId="0FDA752B" w:rsidR="00554D08" w:rsidRPr="00554D08" w:rsidRDefault="00907ED2" w:rsidP="00554D08">
      <w:pPr>
        <w:pStyle w:val="Captions"/>
        <w:keepNext/>
        <w:spacing w:line="240" w:lineRule="auto" w:before="280" w:after="80"/>
        <w:ind w:firstLine="0"/>
        <w:jc w:val="both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="00554D08" w:rsidRPr="00554D08">
        <w:rPr>
          <w:b w:val="0"/>
          <w:sz w:val="20"/>
          <w:szCs w:val="20"/>
        </w:rPr>
        <w:t xml:space="preserve">Calibrated model validation through comparison of predicted mass loss and literature-reported mass loss for Zn degradation.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7A35AA75" w14:textId="77777777" w:rsidTr="00554D08">
        <w:trPr>
          <w:cantSplit/>
          <w:tblHeader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45116476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9C2CABF" w14:textId="23AC42D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30E8DD4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707CAE3F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0258F805" w14:textId="77777777" w:rsidTr="00554D08">
        <w:trPr>
          <w:cantSplit/>
        </w:trPr>
        <w:tc>
          <w:tcPr>
            <w:tcW w:w="1200" w:type="dxa"/>
            <w:vAlign w:val="center"/>
          </w:tcPr>
          <w:p w14:paraId="77D94934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0425702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2B4B1ED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7BEB062D" w14:textId="599EA91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6BE0B7E5" w14:textId="77777777" w:rsidTr="00554D08">
        <w:trPr>
          <w:cantSplit/>
        </w:trPr>
        <w:tc>
          <w:tcPr>
            <w:tcW w:w="1200" w:type="dxa"/>
            <w:vAlign w:val="center"/>
          </w:tcPr>
          <w:p w14:paraId="2A2F7B1C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678B0861" w14:textId="6B7CA6B0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5BCD589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6FCB78A8" w14:textId="410FD8A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57CC89E3" w14:textId="77777777" w:rsidTr="00554D08">
        <w:trPr>
          <w:cantSplit/>
        </w:trPr>
        <w:tc>
          <w:tcPr>
            <w:tcW w:w="1200" w:type="dxa"/>
            <w:vAlign w:val="center"/>
          </w:tcPr>
          <w:p w14:paraId="26FBB79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0F557B72" w14:textId="5C273A4D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D6D731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4AE53FC7" w14:textId="021294C5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401617C1" w14:textId="77777777" w:rsidTr="00554D08">
        <w:trPr>
          <w:cantSplit/>
        </w:trPr>
        <w:tc>
          <w:tcPr>
            <w:tcW w:w="1200" w:type="dxa"/>
            <w:vAlign w:val="center"/>
          </w:tcPr>
          <w:p w14:paraId="5CD2A613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0726A913" w14:textId="2A63A6B3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130F3A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7DFF2407" w14:textId="64CB0B0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24C5052A" w14:textId="77777777" w:rsidTr="00554D08">
        <w:trPr>
          <w:cantSplit/>
        </w:trPr>
        <w:tc>
          <w:tcPr>
            <w:tcW w:w="1200" w:type="dxa"/>
            <w:vAlign w:val="center"/>
          </w:tcPr>
          <w:p w14:paraId="2A9A20A7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341EE8E4" w14:textId="0CAF0D9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20D93FA2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496AE44C" w14:textId="1109A479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3CB31325" w14:textId="77777777" w:rsidTr="00554D08">
        <w:trPr>
          <w:cantSplit/>
        </w:trPr>
        <w:tc>
          <w:tcPr>
            <w:tcW w:w="1200" w:type="dxa"/>
            <w:vAlign w:val="center"/>
          </w:tcPr>
          <w:p w14:paraId="3563CFA9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2C8E0998" w14:textId="47818B0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6012DA1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4E44B3D0" w14:textId="3EEA3ADE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5E317C34" w14:textId="77777777" w:rsidTr="00554D08">
        <w:trPr>
          <w:cantSplit/>
        </w:trPr>
        <w:tc>
          <w:tcPr>
            <w:tcW w:w="1200" w:type="dxa"/>
            <w:vAlign w:val="center"/>
          </w:tcPr>
          <w:p w14:paraId="3CF25173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1D1623DD" w14:textId="7D455789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756A96FF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52F99F1" w14:textId="098E9B51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1DAFABA4" w14:textId="582391B1" w:rsidR="00DF756F" w:rsidRDefault="00D80D58" w:rsidP="00DF756F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7991887" wp14:editId="2929B301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EBA9" w14:textId="0D050B1C" w:rsidR="005F4719" w:rsidRDefault="00DF756F" w:rsidP="00DF756F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="009B05C1">
        <w:rPr>
          <w:b w:val="0"/>
          <w:sz w:val="20"/>
          <w:szCs w:val="20"/>
        </w:rPr>
        <w:t xml:space="preserve"> </w:t>
      </w:r>
      <w:r w:rsidR="003E77C2" w:rsidRPr="003E77C2">
        <w:rPr>
          <w:b w:val="0"/>
          <w:sz w:val="20"/>
          <w:szCs w:val="20"/>
        </w:rPr>
        <w:t xml:space="preserve">Bayesian calibration results: (a) simulated and literature mass loss, (b) normalized parameter trajectories, and (c–e) RMSE response surfaces for pairwise combinations of</w:t>
      </w:r>
      <w:r w:rsidR="003E77C2">
        <w:rPr>
          <w:b w:val="0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b w:val="0"/>
          <w:sz w:val="20"/>
          <w:szCs w:val="20"/>
        </w:rPr>
        <w:t>.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S10 lists the settings of the Bayesian optimizer.</w:t>
      </w:r>
    </w:p>
    <w:p w14:paraId="4C04CCBB" w14:textId="4CAA52E9" w:rsidR="009A33EE" w:rsidRDefault="009A33EE" w:rsidP="009A33EE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A0AFD">
        <w:rPr>
          <w:b w:val="0"/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3F4E789F" w14:textId="77777777" w:rsidTr="00D50C40">
        <w:trPr>
          <w:cantSplit/>
          <w:tblHeader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17059050" w14:textId="77777777" w:rsidR="00B232B9" w:rsidRPr="00151F4E" w:rsidRDefault="00B232B9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B7E173E" w14:textId="77777777" w:rsidR="00B232B9" w:rsidRPr="00151F4E" w:rsidRDefault="00B232B9" w:rsidP="00151F4E">
            <w:pPr>
              <w:pStyle w:val="Captions"/>
              <w:keepNext w:val="0"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4592906" w14:textId="77777777" w:rsidTr="00B5514D">
        <w:trPr>
          <w:cantSplit/>
        </w:trPr>
        <w:tc>
          <w:tcPr>
            <w:tcW w:w="3619" w:type="dxa"/>
            <w:vAlign w:val="center"/>
          </w:tcPr>
          <w:p w14:paraId="29C4EE16" w14:textId="019D689C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02EE8B0D" w14:textId="0EC2E238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19AA403D" w14:textId="77777777" w:rsidTr="00B5514D">
        <w:trPr>
          <w:cantSplit/>
        </w:trPr>
        <w:tc>
          <w:tcPr>
            <w:tcW w:w="3619" w:type="dxa"/>
            <w:vAlign w:val="center"/>
          </w:tcPr>
          <w:p w14:paraId="3B87809B" w14:textId="656D4500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85D9858" w14:textId="2BFD015B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41203D75" w14:textId="77777777" w:rsidTr="00B5514D">
        <w:trPr>
          <w:cantSplit/>
        </w:trPr>
        <w:tc>
          <w:tcPr>
            <w:tcW w:w="3619" w:type="dxa"/>
            <w:vAlign w:val="center"/>
          </w:tcPr>
          <w:p w14:paraId="363F043B" w14:textId="2429D4E1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2A921444" w14:textId="73D886E3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2972EA70" w14:textId="77777777" w:rsidTr="00B5514D">
        <w:trPr>
          <w:cantSplit/>
        </w:trPr>
        <w:tc>
          <w:tcPr>
            <w:tcW w:w="3619" w:type="dxa"/>
            <w:vAlign w:val="center"/>
          </w:tcPr>
          <w:p w14:paraId="541F53D2" w14:textId="0955FE4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50DF815F" w14:textId="20BB83B1" w:rsidR="0063194E" w:rsidRPr="00151F4E" w:rsidRDefault="00457C34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13092E2C" w14:textId="77777777" w:rsidTr="00B5514D">
        <w:trPr>
          <w:cantSplit/>
        </w:trPr>
        <w:tc>
          <w:tcPr>
            <w:tcW w:w="3619" w:type="dxa"/>
            <w:vAlign w:val="center"/>
          </w:tcPr>
          <w:p w14:paraId="40763019" w14:textId="734B001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11FFBBD" w14:textId="1F4EAA0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3FE7A6E" w14:textId="77777777" w:rsidTr="00B5514D">
        <w:trPr>
          <w:cantSplit/>
        </w:trPr>
        <w:tc>
          <w:tcPr>
            <w:tcW w:w="3619" w:type="dxa"/>
            <w:vAlign w:val="center"/>
          </w:tcPr>
          <w:p w14:paraId="623CFD6A" w14:textId="27DE83C6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58D2A485" w14:textId="1E720E9C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4B8ADA60" w14:textId="77777777" w:rsidTr="00B5514D">
        <w:trPr>
          <w:cantSplit/>
        </w:trPr>
        <w:tc>
          <w:tcPr>
            <w:tcW w:w="3619" w:type="dxa"/>
            <w:vAlign w:val="center"/>
          </w:tcPr>
          <w:p w14:paraId="74AB87F4" w14:textId="2F7CCD3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738B8C1B" w14:textId="61DA6803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49A480A5" w14:textId="77777777" w:rsidTr="00B5514D">
        <w:trPr>
          <w:cantSplit/>
        </w:trPr>
        <w:tc>
          <w:tcPr>
            <w:tcW w:w="3619" w:type="dxa"/>
            <w:vAlign w:val="center"/>
          </w:tcPr>
          <w:p w14:paraId="28E86460" w14:textId="163441BE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External probe points</w:t>
            </w:r>
          </w:p>
        </w:tc>
        <w:tc>
          <w:tcPr>
            <w:tcW w:w="5407" w:type="dxa"/>
            <w:vAlign w:val="center"/>
          </w:tcPr>
          <w:p w14:paraId="765F85FF" w14:textId="1BE833E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</w:tr>
      <w:tr w:rsidR="0063194E" w:rsidRPr="00B232B9" w14:paraId="0C61313A" w14:textId="77777777" w:rsidTr="00B5514D">
        <w:trPr>
          <w:cantSplit/>
        </w:trPr>
        <w:tc>
          <w:tcPr>
            <w:tcW w:w="3619" w:type="dxa"/>
            <w:vAlign w:val="center"/>
          </w:tcPr>
          <w:p w14:paraId="46E82144" w14:textId="65A56839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Corner-point evaluations</w:t>
            </w:r>
          </w:p>
        </w:tc>
        <w:tc>
          <w:tcPr>
            <w:tcW w:w="5407" w:type="dxa"/>
            <w:vAlign w:val="center"/>
          </w:tcPr>
          <w:p w14:paraId="52511A0C" w14:textId="2690641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63194E" w:rsidRPr="00B232B9" w14:paraId="12943053" w14:textId="77777777" w:rsidTr="00B5514D">
        <w:trPr>
          <w:cantSplit/>
        </w:trPr>
        <w:tc>
          <w:tcPr>
            <w:tcW w:w="3619" w:type="dxa"/>
            <w:vAlign w:val="center"/>
          </w:tcPr>
          <w:p w14:paraId="07AA4302" w14:textId="2E7BD384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Warm-start data</w:t>
            </w:r>
          </w:p>
        </w:tc>
        <w:tc>
          <w:tcPr>
            <w:tcW w:w="5407" w:type="dxa"/>
            <w:vAlign w:val="center"/>
          </w:tcPr>
          <w:p w14:paraId="29D95B66" w14:textId="2375B63B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Previous runs and training dataset</w:t>
            </w:r>
          </w:p>
        </w:tc>
      </w:tr>
      <w:tr w:rsidR="0063194E" w:rsidRPr="00B232B9" w14:paraId="108988D1" w14:textId="77777777" w:rsidTr="00B5514D">
        <w:trPr>
          <w:cantSplit/>
        </w:trPr>
        <w:tc>
          <w:tcPr>
            <w:tcW w:w="3619" w:type="dxa"/>
            <w:vAlign w:val="center"/>
          </w:tcPr>
          <w:p w14:paraId="5A0E9294" w14:textId="32C38535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7C1A1AF8" w14:textId="74FC32D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22619E42" w14:textId="77777777" w:rsidTr="00B5514D">
        <w:trPr>
          <w:cantSplit/>
        </w:trPr>
        <w:tc>
          <w:tcPr>
            <w:tcW w:w="3619" w:type="dxa"/>
            <w:vAlign w:val="center"/>
          </w:tcPr>
          <w:p w14:paraId="075282FC" w14:textId="07959B8A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0377B4D9" w14:textId="779E81B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10622F48" w14:textId="60F8C8F9" w:rsidR="00876655" w:rsidRPr="00CA2019" w:rsidRDefault="00876655" w:rsidP="00876655">
      <w:pPr>
        <w:pStyle w:val="Heading1"/>
        <w:spacing w:before="280"/>
      </w:pPr>
      <w:r>
        <w:t>S6. Uncertainty analysis</w:t>
      </w:r>
    </w:p>
    <w:p w14:paraId="21BCA16B" w14:textId="0DBE2A2E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S7 shows the ensemble prediction and the distribution of mass loss at 672 h.</w:t>
      </w:r>
    </w:p>
    <w:p w14:paraId="1A245D95" w14:textId="77777777" w:rsidR="00876655" w:rsidRDefault="00876655" w:rsidP="00876655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4039C" wp14:editId="5CBB5E06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6CC30" w14:textId="77CFAFCC" w:rsidR="00876655" w:rsidRPr="00F164F0" w:rsidRDefault="00876655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7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F164F0">
        <w:rPr>
          <w:b w:val="0"/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237239E" w14:textId="395D4D00" w:rsidR="0021293D" w:rsidRDefault="0021293D" w:rsidP="0021293D">
      <w:pPr>
        <w:pStyle w:val="Heading1"/>
      </w:pPr>
      <w:r>
        <w:t>S7. Case-study results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S8 shows the spatial evolution of oxygen and film saturation in the stent. Table S11 and Figures S9 and S10 describe the controlled test structures and their results.</w:t>
      </w:r>
    </w:p>
    <w:p w14:paraId="403992FF" w14:textId="77777777" w:rsidR="0021293D" w:rsidRDefault="0021293D" w:rsidP="002C4E1B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C6F2E3" wp14:editId="40E8B41C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99538" w14:textId="040D21F8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8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Spatial evolution of (a) dissolved oxygen concentration (C</w:t>
      </w:r>
      <w:r w:rsidRPr="002C4E1B">
        <w:rPr>
          <w:b w:val="0"/>
          <w:sz w:val="20"/>
          <w:szCs w:val="20"/>
          <w:vertAlign w:val="subscript"/>
        </w:rPr>
        <w:t>O2</w:t>
      </w:r>
      <w:r w:rsidRPr="0021293D">
        <w:rPr>
          <w:b w:val="0"/>
          <w:sz w:val="20"/>
          <w:szCs w:val="20"/>
        </w:rPr>
        <w:t>​​) and (b) normalized corrosion-film saturation (F/F</w:t>
      </w:r>
      <w:r w:rsidRPr="002C4E1B">
        <w:rPr>
          <w:b w:val="0"/>
          <w:sz w:val="20"/>
          <w:szCs w:val="20"/>
          <w:vertAlign w:val="subscript"/>
        </w:rPr>
        <w:t>max</w:t>
      </w:r>
      <w:r w:rsidRPr="0021293D">
        <w:rPr>
          <w:b w:val="0"/>
          <w:sz w:val="20"/>
          <w:szCs w:val="20"/>
        </w:rPr>
        <w:t xml:space="preserve">​) in a transverse cross-section of the six-crown Zn stent during </w:t>
      </w:r>
      <w:r w:rsidR="00BF2EE4">
        <w:rPr>
          <w:b w:val="0"/>
          <w:sz w:val="20"/>
          <w:szCs w:val="20"/>
        </w:rPr>
        <w:t>672</w:t>
      </w:r>
      <w:r w:rsidRPr="0021293D">
        <w:rPr>
          <w:b w:val="0"/>
          <w:sz w:val="20"/>
          <w:szCs w:val="20"/>
        </w:rPr>
        <w:t xml:space="preserve"> h of immersion.</w:t>
      </w:r>
    </w:p>
    <w:p w14:paraId="1CD3ACBE" w14:textId="48A43441" w:rsidR="00065991" w:rsidRDefault="00065991" w:rsidP="00065991">
      <w:pPr>
        <w:pStyle w:val="Captions"/>
        <w:keepNext/>
        <w:spacing w:line="240" w:lineRule="auto" w:before="200" w:after="80"/>
        <w:ind w:firstLine="0"/>
        <w:jc w:val="both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11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065991">
        <w:rPr>
          <w:b w:val="0"/>
          <w:sz w:val="20"/>
          <w:szCs w:val="20"/>
        </w:rPr>
        <w:t xml:space="preserve">Geometric and computational parameters of the controlled test structures used in main-text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300ADAD2" w14:textId="77777777" w:rsidTr="00405F70">
        <w:trPr>
          <w:cantSplit/>
          <w:tblHeader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3A935C2F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2444081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F6B6F00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678E408B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5D0EAD45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71A1872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45327F98" w14:textId="77777777" w:rsidTr="00405F70">
        <w:trPr>
          <w:cantSplit/>
        </w:trPr>
        <w:tc>
          <w:tcPr>
            <w:tcW w:w="1394" w:type="dxa"/>
            <w:vAlign w:val="center"/>
          </w:tcPr>
          <w:p w14:paraId="6D75F2B0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60EC34A2" w14:textId="6A282EBD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60AC1DDD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4602A085" w14:textId="176979A0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794196E" w14:textId="76716AEC" w:rsidR="00CA2019" w:rsidRPr="00D50C40" w:rsidRDefault="003976E7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7A08193" w14:textId="22012962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5E69578" w14:textId="77777777" w:rsidTr="00405F70">
        <w:trPr>
          <w:cantSplit/>
        </w:trPr>
        <w:tc>
          <w:tcPr>
            <w:tcW w:w="1394" w:type="dxa"/>
            <w:vAlign w:val="center"/>
          </w:tcPr>
          <w:p w14:paraId="1C63BB3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3912D459" w14:textId="011D2F8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2693539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392B8BD9" w14:textId="6FCB454E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2913A82" w14:textId="2A7501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87E4293" w14:textId="6B61296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3FF20C4" w14:textId="77777777" w:rsidTr="00405F70">
        <w:trPr>
          <w:cantSplit/>
        </w:trPr>
        <w:tc>
          <w:tcPr>
            <w:tcW w:w="1394" w:type="dxa"/>
            <w:vAlign w:val="center"/>
          </w:tcPr>
          <w:p w14:paraId="31A495E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1216944F" w14:textId="0C17129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07445DB0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64CAEB3F" w14:textId="6F1FEFC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B477A4C" w14:textId="6B794999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02B9AB0" w14:textId="6D28887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027BDFC5" w14:textId="77777777" w:rsidTr="00405F70">
        <w:trPr>
          <w:cantSplit/>
        </w:trPr>
        <w:tc>
          <w:tcPr>
            <w:tcW w:w="1394" w:type="dxa"/>
            <w:vAlign w:val="center"/>
          </w:tcPr>
          <w:p w14:paraId="7CB9E1EE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021D6A71" w14:textId="351B6AD6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3D8911A5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4E76C14F" w14:textId="5BC97F9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6C23BCF" w14:textId="30E156A1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747D68C9" w14:textId="04E3CE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720FE38" w14:textId="77777777" w:rsidTr="00405F70">
        <w:trPr>
          <w:cantSplit/>
        </w:trPr>
        <w:tc>
          <w:tcPr>
            <w:tcW w:w="1394" w:type="dxa"/>
            <w:vAlign w:val="center"/>
          </w:tcPr>
          <w:p w14:paraId="07D9CB7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49604111" w14:textId="71A2057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0CAD0E08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66000F1D" w14:textId="0599EA10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B2F1AF4" w14:textId="5A84F1E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929EA57" w14:textId="69AD66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558E3B6" w14:textId="77777777" w:rsidTr="00405F70">
        <w:trPr>
          <w:cantSplit/>
        </w:trPr>
        <w:tc>
          <w:tcPr>
            <w:tcW w:w="1394" w:type="dxa"/>
            <w:vAlign w:val="center"/>
          </w:tcPr>
          <w:p w14:paraId="72526F6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5F87C091" w14:textId="2880FCEF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75F35CE7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4400F25" w14:textId="13CB68E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AC5C8E0" w14:textId="126E09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0B81CF4" w14:textId="5428FFA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1649676" w14:textId="77777777" w:rsidTr="00405F70">
        <w:trPr>
          <w:cantSplit/>
        </w:trPr>
        <w:tc>
          <w:tcPr>
            <w:tcW w:w="1394" w:type="dxa"/>
            <w:vAlign w:val="center"/>
          </w:tcPr>
          <w:p w14:paraId="6A2CE7B2" w14:textId="321D85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7C17D7E" w14:textId="3ADCE01D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34F81ED8" w14:textId="51B17F71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2DC416AB" w14:textId="12F6A0AC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56A65B90" w14:textId="52CC8904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47137B0E" w14:textId="4714623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44B3F9D" w14:textId="77777777" w:rsidTr="00405F70">
        <w:trPr>
          <w:cantSplit/>
        </w:trPr>
        <w:tc>
          <w:tcPr>
            <w:tcW w:w="1394" w:type="dxa"/>
            <w:vAlign w:val="center"/>
          </w:tcPr>
          <w:p w14:paraId="1AED068F" w14:textId="1E95918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12215FB0" w14:textId="59A28858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25609E35" w14:textId="2172F256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06A224BC" w14:textId="7E9ABD5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67ECBB" w14:textId="2BFA149C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EF190C2" w14:textId="3BC06774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A8E8EE9" w14:textId="77777777" w:rsidTr="00405F70">
        <w:trPr>
          <w:cantSplit/>
        </w:trPr>
        <w:tc>
          <w:tcPr>
            <w:tcW w:w="1394" w:type="dxa"/>
            <w:vAlign w:val="center"/>
          </w:tcPr>
          <w:p w14:paraId="75D43B68" w14:textId="5CAFD45F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69F7E8A9" w14:textId="6D28FE73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66A57A2D" w14:textId="6FFAA97C" w:rsidR="003976E7" w:rsidRPr="00D50C40" w:rsidRDefault="003976E7" w:rsidP="00197311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54D07EE" w14:textId="3ABA5810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73631C5" w14:textId="68D8488F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6520133A" w14:textId="0917C343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7D46B49D" w14:textId="710AF4BB" w:rsidR="00860DF3" w:rsidRDefault="00BF2EE4" w:rsidP="00B9579D">
      <w:pPr>
        <w:keepNext/>
        <w:spacing w:after="0" w:line="240" w:lineRule="auto" w:before="2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C5B8DF6" wp14:editId="72EF91BC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11A7E208" w14:textId="729F6363" w:rsidR="006B3F58" w:rsidRPr="006B3F58" w:rsidRDefault="00860DF3" w:rsidP="00357694">
      <w:pPr>
        <w:pStyle w:val="Captions"/>
        <w:keepNext w:val="0"/>
        <w:spacing w:line="240" w:lineRule="auto" w:before="80" w:after="280"/>
        <w:ind w:firstLine="0"/>
        <w:jc w:val="both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 xml:space="preserve">.</w:t>
      </w:r>
      <w:r w:rsidR="00B9579D">
        <w:rPr>
          <w:b w:val="0"/>
          <w:sz w:val="20"/>
          <w:szCs w:val="20"/>
        </w:rPr>
        <w:t xml:space="preserve"> </w:t>
      </w:r>
      <w:r w:rsidR="00357694" w:rsidRPr="00357694">
        <w:rPr>
          <w:b w:val="0"/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b w:val="0"/>
          <w:sz w:val="20"/>
          <w:szCs w:val="20"/>
        </w:rPr>
        <w:t>κ = 1/R</w:t>
      </w:r>
      <w:r w:rsidR="00357694" w:rsidRPr="00357694">
        <w:rPr>
          <w:b w:val="0"/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0" w:name="_Hlk241828842"/>
      <w:r w:rsidR="00357694" w:rsidRPr="00357694">
        <w:rPr>
          <w:b w:val="0"/>
          <w:sz w:val="20"/>
          <w:szCs w:val="20"/>
        </w:rPr>
        <w:t>SA/V exhibiting the strongest correlation with cumulative mass loss.</w:t>
      </w:r>
      <w:bookmarkEnd w:id="0"/>
      <w:r>
        <w:rPr>
          <w:b w:val="0"/>
          <w:iCs w:val="0"/>
          <w:sz w:val="20"/>
          <w:szCs w:val="20"/>
        </w:rPr>
        <w:t xml:space="preserve"> </w:t>
      </w:r>
    </w:p>
    <w:p w14:paraId="1FE7B987" w14:textId="5A167F84" w:rsidR="00552E50" w:rsidRDefault="00552E50">
      <w:pPr>
        <w:keepNext/>
        <w:spacing w:after="0" w:line="240" w:lineRule="auto" w:before="200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6EA2270" wp14:editId="25047AE4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D5980" w14:textId="3FF7DC5A" w:rsidR="00496CE8" w:rsidRPr="00876655" w:rsidRDefault="00552E50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10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552E50">
        <w:rPr>
          <w:b w:val="0"/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b w:val="0"/>
          <w:sz w:val="20"/>
          <w:szCs w:val="20"/>
        </w:rPr>
        <w:t>on the outer convex surface</w:t>
      </w:r>
      <w:r w:rsidRPr="00552E50">
        <w:rPr>
          <w:b w:val="0"/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b w:val="0"/>
          <w:sz w:val="20"/>
          <w:szCs w:val="20"/>
        </w:rPr>
        <w:t>outward-exposed</w:t>
      </w:r>
      <w:r w:rsidRPr="00552E50">
        <w:rPr>
          <w:b w:val="0"/>
          <w:sz w:val="20"/>
          <w:szCs w:val="20"/>
        </w:rPr>
        <w:t xml:space="preserve"> surface. CC denotes the center-to-center spacing.</w:t>
      </w:r>
    </w:p>
    <w:sectPr w:rsidR="00496CE8" w:rsidRPr="00876655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t>S-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A180F"/>
    <w:rsid w:val="00ED14A2"/>
    <w:rsid w:val="00F07903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95F91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 w:ascii="Times New Roman" w:hAnsi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 w:ascii="Times New Roman" w:hAnsi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13</Pages>
  <Words>2092</Words>
  <Characters>11925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13990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99</cp:revision>
  <cp:lastPrinted>2026-09-27T22:37:00Z</cp:lastPrinted>
  <dcterms:created xsi:type="dcterms:W3CDTF">2026-09-27T22:41:00Z</dcterms:created>
  <dcterms:modified xsi:type="dcterms:W3CDTF">2026-10-02T06:54:00Z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