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consistent in magnitude with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r w:rsidR="00BC506D" w:rsidRPr="001A2EB4">
        <w:rPr>
          <w:rFonts w:cs="Times New Roman"/>
          <w:i/>
        </w:rPr>
        <w:t>in vivo</w:t>
      </w:r>
      <w:r w:rsidR="00BC506D" w:rsidRPr="001A2EB4">
        <w:rPr>
          <w:rFonts w:cs="Times New Roman"/>
        </w:rPr>
        <w:t xml:space="preserve"> observations indicate that early degradation is dominated by a thin </w:t>
      </w:r>
      <w:proofErr w:type="spellStart"/>
      <w:r w:rsidR="00BC506D" w:rsidRPr="001A2EB4">
        <w:rPr>
          <w:rFonts w:cs="Times New Roman"/>
        </w:rPr>
        <w:t>ZnO</w:t>
      </w:r>
      <w:proofErr w:type="spellEnd"/>
      <w:r w:rsidR="00BC506D" w:rsidRPr="001A2EB4">
        <w:rPr>
          <w:rFonts w:cs="Times New Roman"/>
        </w:rPr>
        <w:t xml:space="preserve"> layer, with more complex phases appearing only after approximately 4.5 months </w:t>
      </w:r>
      <w:r w:rsidR="00BC506D" w:rsidRPr="001A2EB4">
        <w:rPr>
          <w:rFonts w:cs="Times New Roman"/>
        </w:rPr>
        <w:fldChar w:fldCharType="begin"/>
      </w:r>
      <w:r w:rsidR="00CE255A">
        <w:rPr>
          <w:rFonts w:cs="Times New Roman"/>
        </w:rPr>
        <w:instrText xml:space="preserve"> ADDIN ZOTERO_ITEM CSL_CITATION {"citationID":"LmMK5e9z","properties":{"unsorted":false,"formattedCitation":"\\super [29]\\nosupersub{}","plainCitation":"[29]","noteIndex":0},"citationItems":[{"id":3871,"uris":["http://zotero.org/users/16939557/items/VR5DEBC2"],"itemData":{"id":3871,"type":"article-journal","citation-key":"bowenZincExhibitsIdeal2013","container-title":"Advanced Materials","DOI":"10.1002/adma.201300226","ISSN":"0935-9648, 1521-4095","issue":"18","journalAbbreviation":"Advanced Materials","language":"en","license":"http://onlinelibrary.wiley.com/termsAndConditions#vor","page":"2577-2582","source":"DOI.org (Crossref)","title":"Zinc Exhibits Ideal Physiological Corrosion Behavior for Bioabsorbable Stents","volume":"25","author":[{"family":"Bowen","given":"Patrick K."},{"family":"Drelich","given":"Jaroslaw"},{"family":"Goldman","given":"Jeremy"}],"issued":{"date-parts":[["2013",5,14]]}}}],"schema":"https://github.com/citation-style-language/schema/raw/master/csl-citation.json"}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[29]</w:t>
      </w:r>
      <w:r w:rsidR="00BC506D" w:rsidRPr="001A2EB4">
        <w:rPr>
          <w:rFonts w:cs="Times New Roman"/>
        </w:rPr>
        <w:fldChar w:fldCharType="end"/>
      </w:r>
      <w:r w:rsidR="00BC506D" w:rsidRPr="001A2EB4">
        <w:rPr>
          <w:rFonts w:cs="Times New Roman"/>
        </w:rPr>
        <w:t xml:space="preserve">. Therefore, for the one-month simulation period considered here, 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it impedes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an electrolyte domain at least three times larger than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coverage</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coverage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surface coverage</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surface coverage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coverage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coverage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coverage,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coverage.</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corrosion-product coverage (%), and panels (g-</w:t>
      </w:r>
      <w:proofErr w:type="spellStart"/>
      <w:r w:rsidRPr="001A2EB4">
        <w:t>i</w:t>
      </w:r>
      <w:proofErr w:type="spellEnd"/>
      <w:r w:rsidRPr="001A2EB4">
        <w:t>)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w:t>
      </w:r>
      <w:r w:rsidR="00CF36DC" w:rsidRPr="001A2EB4">
        <w:rPr>
          <w:rFonts w:cs="Times New Roman"/>
        </w:rPr>
        <w:t xml:space="preserve">Literature </w:t>
      </w:r>
      <w:r w:rsidRPr="001A2EB4">
        <w:rPr>
          <w:rFonts w:cs="Times New Roman"/>
        </w:rPr>
        <w:t xml:space="preserve">measurements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the model reproduced the overall evolution of both quantities, capturing the rapid initial increase followed by a gradual plateau</w:t>
      </w:r>
      <w:r w:rsidR="009F6828">
        <w:rPr>
          <w:rFonts w:cs="Times New Roman"/>
        </w:rPr>
        <w:t xml:space="preserve"> </w:t>
      </w:r>
      <w:r w:rsidR="009F6828" w:rsidRPr="009F6828">
        <w:rPr>
          <w:rFonts w:cs="Times New Roman"/>
        </w:rPr>
        <w:t>(Pearson r = 0.96 for Zn²⁺ and 0.95 for pH)</w:t>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2.1 to 2.7 µm across the curved-wire configurations (30°, 90°, and 150° arcs) and from 2.1 to 2.7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consistent with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