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Henaka Ariyarathna, Xuan Yang, Aijun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del w:id="1" w:author="Claude" w:date="2026-10-08T20:38:00Z">
        <w:r>
          <w:delText>film</w:delText>
        </w:r>
      </w:del>
      <w:ins w:id="2" w:author="Claude" w:date="2026-10-08T20:38:00Z">
        <w:r w:rsidRPr="001A2EB4">
          <w:t>product</w:t>
        </w:r>
      </w:ins>
      <w:r w:rsidRPr="001A2EB4">
        <w:t xml:space="preserve"> evolution with moving-interface tracking; (b) calibration of the three effective kinetic parameters (k</w:t>
      </w:r>
      <w:r w:rsidRPr="001A2EB4">
        <w:rPr>
          <w:vertAlign w:val="subscript"/>
        </w:rPr>
        <w:t>f</w:t>
      </w:r>
      <w:r w:rsidRPr="001A2EB4">
        <w:t>, k</w:t>
      </w:r>
      <w:r w:rsidRPr="001A2EB4">
        <w:rPr>
          <w:vertAlign w:val="subscript"/>
        </w:rPr>
        <w:t>d</w:t>
      </w:r>
      <w:r w:rsidRPr="001A2EB4">
        <w:t>, k</w:t>
      </w:r>
      <w:r w:rsidRPr="001A2EB4">
        <w:rPr>
          <w:vertAlign w:val="subscript"/>
        </w:rPr>
        <w:t>ORR</w:t>
      </w:r>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3"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3"/>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4" w:name="_Ref238646573"/>
      <w:bookmarkStart w:id="5" w:name="sec:model:chemistry"/>
      <w:r w:rsidRPr="001A2EB4">
        <w:t>Electrochemical Mechanisms of Zn Biodegradation</w:t>
      </w:r>
      <w:bookmarkEnd w:id="4"/>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Although phosphate and carbonate species may contribute to the formation of secondary corrosion products such as hopeite, smithsonite, and simonkolleite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the corrosion products are 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6" w:name="fig:chemistry"/>
      <w:bookmarkEnd w:id="5"/>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7"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7"/>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6"/>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324FF"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5324FF"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5324FF"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generating OH⁻ ions that increase the local alkalinity and promote formation of ZnO-based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5324FF"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5324FF"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ZnO precipitation and chloride-mediated dissolution</w:t>
      </w:r>
      <w:r w:rsidR="00F94D95" w:rsidRPr="001A2EB4">
        <w:t xml:space="preserve"> as follows</w:t>
      </w:r>
      <w:r w:rsidR="00097CCF" w:rsidRPr="001A2EB4">
        <w:t>:</w:t>
      </w:r>
    </w:p>
    <w:p w14:paraId="05E40B05" w14:textId="7908140A" w:rsidR="00097CCF" w:rsidRPr="001A2EB4" w:rsidRDefault="005324FF"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324FF"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77593D59" w14:textId="6D7232D0" w:rsidR="00E54A50" w:rsidRPr="001A2EB4" w:rsidRDefault="005324FF"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9" w:name="_Ref239691057"/>
      <w:bookmarkStart w:id="10" w:name="sec:model:velocity"/>
      <w:r w:rsidRPr="001A2EB4">
        <w:t>Interface Recession Velocity</w:t>
      </w:r>
      <w:bookmarkEnd w:id="9"/>
    </w:p>
    <w:p w14:paraId="764FB787" w14:textId="6120A1A8"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A6791C" w:rsidRPr="00A6791C">
        <w:rPr>
          <w:rFonts w:cs="Times New Roman"/>
          <w:vertAlign w:val="superscript"/>
        </w:rPr>
        <w:t>[32]</w:t>
      </w:r>
      <w:r w:rsidR="00E54A50" w:rsidRPr="001A2EB4">
        <w:rPr>
          <w:rFonts w:cs="Times New Roman"/>
        </w:rPr>
        <w:fldChar w:fldCharType="end"/>
      </w:r>
      <w:r w:rsidR="00E54A50" w:rsidRPr="001A2EB4">
        <w:rPr>
          <w:rFonts w:cs="Times New Roman"/>
        </w:rPr>
        <w:t>:</w:t>
      </w:r>
    </w:p>
    <w:p w14:paraId="6B40B98A" w14:textId="721B1BC8"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356F016D"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rFonts w:cs="Times New Roman"/>
        </w:rPr>
      </w:pPr>
      <w:r>
        <w:rPr>
          <w:rFonts w:cs="Times New Roman"/>
        </w:rPr>
        <w:t xml:space="preserve">Where </w:t>
      </w:r>
      <w:r w:rsidRPr="001A2EB4">
        <w:rPr>
          <w:rFonts w:cs="Times New Roman"/>
        </w:rPr>
        <w:t>M</w:t>
      </w:r>
      <w:r w:rsidRPr="008934FF">
        <w:rPr>
          <w:rFonts w:cs="Times New Roman"/>
          <w:vertAlign w:val="subscript"/>
        </w:rPr>
        <w:t>O₂</w:t>
      </w:r>
      <w:r w:rsidRPr="001A2EB4">
        <w:rPr>
          <w:rFonts w:cs="Times New Roman"/>
        </w:rPr>
        <w:t xml:space="preserve"> is the molar mass of </w:t>
      </w:r>
      <w:r>
        <w:rPr>
          <w:rFonts w:cs="Times New Roman"/>
        </w:rPr>
        <w:t xml:space="preserve">oxygen. </w:t>
      </w:r>
      <w:r w:rsidR="00E54A50"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7AA22A74"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11" w:name="_Ref240381709"/>
      <w:bookmarkStart w:id="12" w:name="tab:params"/>
      <w:r w:rsidRPr="001A2EB4">
        <w:t>Numerical Implementation and Simulation Setup</w:t>
      </w:r>
      <w:bookmarkEnd w:id="11"/>
    </w:p>
    <w:p w14:paraId="73E7218C" w14:textId="2743C166" w:rsidR="00D26518" w:rsidRPr="001A2EB4" w:rsidRDefault="00D26518" w:rsidP="00D1626D">
      <w:pPr>
        <w:pStyle w:val="BodyText"/>
      </w:pPr>
      <w:r w:rsidRPr="001A2EB4">
        <w:t xml:space="preserve">The coupled reaction-diffusion and moving-boundary framework was implemented in FreeFEM++ and solved using first-order finite elements with implicit time integration. </w:t>
      </w:r>
      <w:r w:rsidR="00024712" w:rsidRPr="001A2EB4">
        <w:t>Parametrically generated implant geometries were discretized into tetrahedral meshes and embedded within a 30 × 30 × 30 mm electrolyte domain</w:t>
      </w:r>
      <w:ins w:id="13" w:author="Claude" w:date="2026-10-08T20:38:00Z">
        <w:r w:rsidR="00024712" w:rsidRPr="001A2EB4">
          <w:t>,</w:t>
        </w:r>
      </w:ins>
      <w:r w:rsidR="00024712" w:rsidRPr="001A2EB4">
        <w:t xml:space="preserve"> identical for the disc and the stent and larger than three times the implant characteristic dimension in each direction</w:t>
      </w:r>
      <w:ins w:id="14"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del w:id="15" w:author="Claude" w:date="2026-10-08T22:54:00Z">
        <w:r>
          <w:delText>1</w:delText>
        </w:r>
      </w:del>
      <w:ins w:id="16" w:author="Claude" w:date="2026-10-08T22:54:00Z">
        <w:r w:rsidRPr="001A2EB4">
          <w:t>0.2</w:t>
        </w:r>
      </w:ins>
      <w:r w:rsidRPr="001A2EB4">
        <w:t>% with further refinement (</w:t>
      </w:r>
      <w:r w:rsidRPr="00FD7271">
        <w:rPr>
          <w:b/>
          <w:bCs/>
        </w:rPr>
        <w:t>Section S2</w:t>
      </w:r>
      <w:r w:rsidRPr="001A2EB4">
        <w:t>).</w:t>
      </w:r>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 Simulations were executed in parallel using FreeFEM++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Damköhler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7"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7"/>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324FF"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324FF"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567DA5A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[37]</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324FF"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2"/>
    </w:tbl>
    <w:p w14:paraId="77CFBF34" w14:textId="77777777" w:rsidR="00E54A50" w:rsidRPr="001A2EB4" w:rsidRDefault="00E54A50" w:rsidP="00E54A50">
      <w:pPr>
        <w:pStyle w:val="BodyText"/>
        <w:ind w:firstLine="0"/>
        <w:rPr>
          <w:rFonts w:cs="Times New Roman"/>
        </w:rPr>
      </w:pPr>
    </w:p>
    <w:bookmarkEnd w:id="10"/>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rFonts w:cs="Times New Roman"/>
        </w:rPr>
      </w:pPr>
      <w:bookmarkStart w:id="18"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9"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9"/>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20" w:name="_Ref238636197"/>
      <w:bookmarkStart w:id="21"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20"/>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21"/>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9002" w:author="Claude" w:date="2026-10-08T23:09:54Z">
        <w:r>
          <w:delText xml:space="preserve">film </w:delText>
        </w:r>
      </w:del>
      <w:r w:rsidR="008E5454">
        <w:t xml:space="preserve">corrosion-product</w:t>
      </w:r>
      <w:del w:id="9001" w:author="Claude" w:date="2026-10-08T23:09:54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g–i</w:t>
      </w:r>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2"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2"/>
      <w:r w:rsidRPr="001A2EB4">
        <w:rPr>
          <w:b/>
          <w:bCs/>
        </w:rPr>
        <w:t>.</w:t>
      </w:r>
      <w:r w:rsidRPr="001A2EB4">
        <w:t xml:space="preserve"> Local parameter sweeps of kinetic parameters. Panels (a–c) show cumulative mass loss (%), panels (d–f) show the normalized corrosion-product saturation, F/Fₘₐₓ (%), and panels (g–i)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8"/>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3" w:name="_Ref238632622"/>
      <w:bookmarkStart w:id="24"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3"/>
      <w:bookmarkEnd w:id="24"/>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r w:rsidR="00907A1D" w:rsidRPr="001A2EB4">
        <w:t xml:space="preserve">Damköhler-number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5"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5"/>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ins w:id="26" w:author="Claude" w:date="2026-10-08T20:38:00Z">
        <w:r w:rsidRPr="001A2EB4">
          <w:rPr>
            <w:rFonts w:cs="Times New Roman"/>
          </w:rPr>
          <w:t>,</w:t>
        </w:r>
      </w:ins>
      <w:r w:rsidRPr="001A2EB4">
        <w:rPr>
          <w:rFonts w:cs="Times New Roman"/>
        </w:rPr>
        <w:t xml:space="preserve"> with errors at 336 h of 44% for Zn²⁺ and 2.8% for pH</w:t>
      </w:r>
      <w:del w:id="27" w:author="Claude" w:date="2026-10-08T20:38:00Z">
        <w:r>
          <w:rPr>
            <w:rFonts w:cs="Times New Roman"/>
          </w:rPr>
          <w:delText>)</w:delText>
        </w:r>
      </w:del>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 xml:space="preserve">Figure </w:t>
      </w:r>
      <w:del w:id="28" w:author="Claude" w:date="2026-10-08T22:54:00Z">
        <w:r>
          <w:rPr>
            <w:b/>
            <w:bCs/>
          </w:rPr>
          <w:delText>S9</w:delText>
        </w:r>
      </w:del>
      <w:ins w:id="29" w:author="Claude" w:date="2026-10-08T22:54:00Z">
        <w:r w:rsidR="00CF36DC" w:rsidRPr="00B565AC">
          <w:rPr>
            <w:b/>
            <w:bCs/>
          </w:rPr>
          <w:t>S8</w:t>
        </w:r>
      </w:ins>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3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3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3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3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3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(c,d)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3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3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4" w:author="Claude" w:date="2026-10-08T20:38:00Z">
        <w:r>
          <w:delText>-</w:delText>
        </w:r>
      </w:del>
      <w:r w:rsidR="005757F6">
        <w:t xml:space="preserve"> products are treated as a homogenized ZnO-based field rather than a discrete surface film or a heterogeneous, composition-dependent structure, and phosphate-, carbonate-, calcium-, and chloride-containing phases</w:t>
      </w:r>
      <w:ins w:id="35"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6" w:author="Claude" w:date="2026-10-08T20:38:00Z"/>
        </w:rPr>
      </w:pPr>
    </w:p>
    <w:p w14:paraId="6233A8DD" w14:textId="77777777" w:rsidR="00527833" w:rsidRDefault="00527833" w:rsidP="00711ECD">
      <w:pPr>
        <w:pStyle w:val="BodyText"/>
        <w:ind w:firstLine="0"/>
        <w:rPr>
          <w:ins w:id="37" w:author="Claude" w:date="2026-10-08T20:38:00Z"/>
        </w:rPr>
      </w:pPr>
    </w:p>
    <w:p w14:paraId="1A4D172F" w14:textId="77777777" w:rsidR="00527833" w:rsidRPr="001A2EB4" w:rsidRDefault="00527833" w:rsidP="00711ECD">
      <w:pPr>
        <w:pStyle w:val="BodyText"/>
        <w:ind w:firstLine="0"/>
        <w:rPr>
          <w:ins w:id="38" w:author="Claude" w:date="2026-10-08T20:38:00Z"/>
        </w:rPr>
      </w:pPr>
    </w:p>
    <w:bookmarkEnd w:id="31"/>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9"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40"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39"/>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eResearch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r w:rsidRPr="001A2EB4">
        <w:rPr>
          <w:b/>
          <w:bCs/>
        </w:rPr>
        <w:t>Aijun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r w:rsidR="006E76EC" w:rsidRPr="001A2EB4">
        <w:rPr>
          <w:b/>
          <w:bCs/>
        </w:rPr>
        <w:t>Yuman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F71FD" w14:textId="77777777" w:rsidR="005324FF" w:rsidRDefault="005324FF">
      <w:r>
        <w:separator/>
      </w:r>
    </w:p>
  </w:endnote>
  <w:endnote w:type="continuationSeparator" w:id="0">
    <w:p w14:paraId="5C04D26A" w14:textId="77777777" w:rsidR="005324FF" w:rsidRDefault="00532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434FB2" w14:textId="77777777" w:rsidR="005324FF" w:rsidRDefault="005324FF">
      <w:r>
        <w:separator/>
      </w:r>
    </w:p>
  </w:footnote>
  <w:footnote w:type="continuationSeparator" w:id="0">
    <w:p w14:paraId="7DA1D583" w14:textId="77777777" w:rsidR="005324FF" w:rsidRDefault="005324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30</Pages>
  <Words>24559</Words>
  <Characters>139989</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131</cp:revision>
  <cp:lastPrinted>2026-10-07T06:32:00Z</cp:lastPrinted>
  <dcterms:created xsi:type="dcterms:W3CDTF">2026-10-01T06:12:00Z</dcterms:created>
  <dcterms:modified xsi:type="dcterms:W3CDTF">2026-10-08T23:09:00Z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