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62D72D" w14:textId="77777777" w:rsidR="00016474" w:rsidRPr="00154208" w:rsidRDefault="003D0986" w:rsidP="00016474">
      <w:pPr>
        <w:spacing w:after="120" w:line="240" w:lineRule="auto"/>
        <w:ind w:firstLine="0"/>
        <w:contextualSpacing/>
        <w:jc w:val="center"/>
        <w:rPr>
          <w:rFonts w:cs="Times New Roman"/>
          <w:sz w:val="36"/>
          <w:szCs w:val="56"/>
        </w:rPr>
      </w:pPr>
      <w:r>
        <w:rPr>
          <w:b/>
          <w:sz w:val="32"/>
        </w:rPr>
        <w:t>Supporting Information</w:t>
      </w:r>
    </w:p>
    <w:p w14:paraId="20E59525" w14:textId="77777777" w:rsidR="005639C1" w:rsidRDefault="007163D0">
      <w:pPr>
        <w:spacing w:after="120"/>
        <w:jc w:val="center"/>
      </w:pPr>
      <w:r>
        <w:rPr>
          <w:b/>
          <w:sz w:val="28"/>
        </w:rPr>
        <w:t>A Mechanistic Framework for Predicting the Biodegradation of Zinc Implants</w:t>
      </w:r>
    </w:p>
    <w:p w14:paraId="22975DF9" w14:textId="77777777" w:rsidR="00B97A60" w:rsidRPr="005E40E9" w:rsidRDefault="00B97A60" w:rsidP="005E40E9">
      <w:pPr>
        <w:keepNext/>
        <w:keepLines/>
        <w:spacing w:before="240" w:after="120"/>
        <w:ind w:firstLine="0"/>
        <w:contextualSpacing/>
        <w:jc w:val="center"/>
        <w:rPr>
          <w:rFonts w:cs="Times New Roman"/>
          <w:i/>
          <w:iCs/>
        </w:rPr>
      </w:pPr>
      <w:r>
        <w:t xml:space="preserve">Henaka Ariyarathna, Xuan Yang, </w:t>
      </w:r>
      <w:proofErr w:type="spellStart"/>
      <w:r>
        <w:t>Aijun</w:t>
      </w:r>
      <w:proofErr w:type="spellEnd"/>
      <w:r>
        <w:t xml:space="preserve"> Huang, Yunlong Tang</w:t>
      </w:r>
      <w:r>
        <w:rPr>
          <w:vertAlign w:val="superscript"/>
        </w:rPr>
        <w:t>*</w:t>
      </w:r>
      <w:r>
        <w:t xml:space="preserve">, </w:t>
      </w:r>
      <w:proofErr w:type="spellStart"/>
      <w:r>
        <w:t>Yuman</w:t>
      </w:r>
      <w:proofErr w:type="spellEnd"/>
      <w:r>
        <w:t xml:space="preserve"> Zhu</w:t>
      </w:r>
      <w:r>
        <w:rPr>
          <w:vertAlign w:val="superscript"/>
        </w:rPr>
        <w:t>*</w:t>
      </w:r>
    </w:p>
    <w:p w14:paraId="23FCCF68" w14:textId="77777777" w:rsidR="005639C1" w:rsidRDefault="007163D0">
      <w:pPr>
        <w:jc w:val="center"/>
      </w:pPr>
      <w:r>
        <w:rPr>
          <w:i/>
          <w:sz w:val="20"/>
        </w:rPr>
        <w:t>H. Ariyarathna, X. Yang, A. Huang, Y. Tang, Y. Zhu</w:t>
      </w:r>
    </w:p>
    <w:p w14:paraId="34AD9A3B" w14:textId="77777777" w:rsidR="005639C1" w:rsidRDefault="007163D0">
      <w:pPr>
        <w:spacing w:after="80"/>
        <w:jc w:val="center"/>
      </w:pPr>
      <w:r>
        <w:rPr>
          <w:sz w:val="20"/>
        </w:rPr>
        <w:t>Monash Centre for Additive Manufacturing, Monash University, Wellington Rd, Clayton, VIC 3800, Australia</w:t>
      </w:r>
    </w:p>
    <w:p w14:paraId="03028DEC" w14:textId="77777777" w:rsidR="005639C1" w:rsidRDefault="007163D0">
      <w:pPr>
        <w:jc w:val="center"/>
      </w:pPr>
      <w:r>
        <w:rPr>
          <w:i/>
          <w:sz w:val="20"/>
        </w:rPr>
        <w:t>H. Ariyarathna, X. Yang, A. Huang, Y. Tang</w:t>
      </w:r>
    </w:p>
    <w:p w14:paraId="140B4AF6" w14:textId="77777777" w:rsidR="005639C1" w:rsidRDefault="007163D0">
      <w:pPr>
        <w:spacing w:after="80"/>
        <w:jc w:val="center"/>
      </w:pPr>
      <w:r>
        <w:rPr>
          <w:sz w:val="20"/>
        </w:rPr>
        <w:t>Department of Materials Science and Engineering, Monash University, Wellington Rd, Clayton, VIC 3800, Australia</w:t>
      </w:r>
    </w:p>
    <w:p w14:paraId="10478A00" w14:textId="77777777" w:rsidR="005639C1" w:rsidRDefault="007163D0">
      <w:pPr>
        <w:jc w:val="center"/>
      </w:pPr>
      <w:r>
        <w:rPr>
          <w:i/>
          <w:sz w:val="20"/>
        </w:rPr>
        <w:t>A. Huang, Y. Tang, Y. Zhu</w:t>
      </w:r>
    </w:p>
    <w:p w14:paraId="2385E92F" w14:textId="77777777" w:rsidR="005639C1" w:rsidRDefault="007163D0">
      <w:pPr>
        <w:spacing w:after="80"/>
        <w:jc w:val="center"/>
      </w:pPr>
      <w:r>
        <w:rPr>
          <w:sz w:val="20"/>
        </w:rPr>
        <w:t>Department of Mechanical and Aerospace Engineering, Monash University, Wellington Rd, Clayton, VIC 3800, Australia</w:t>
      </w:r>
    </w:p>
    <w:p w14:paraId="634F78FA" w14:textId="77777777" w:rsidR="005639C1" w:rsidRDefault="007163D0">
      <w:pPr>
        <w:spacing w:after="240"/>
        <w:jc w:val="center"/>
      </w:pPr>
      <w:r>
        <w:rPr>
          <w:sz w:val="20"/>
        </w:rPr>
        <w:t>*Correspondence: Yunlong.Tang1@monash.edu, yuman.zhu@monash.edu</w:t>
      </w:r>
    </w:p>
    <w:p w14:paraId="7AE104E7" w14:textId="77777777" w:rsidR="005639C1" w:rsidRDefault="007163D0">
      <w:pPr>
        <w:spacing w:after="80"/>
      </w:pPr>
      <w:r>
        <w:rPr>
          <w:b/>
        </w:rPr>
        <w:t>Contents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000"/>
        <w:gridCol w:w="4200"/>
        <w:gridCol w:w="3826"/>
      </w:tblGrid>
      <w:tr w:rsidR="005639C1" w14:paraId="6251D3AC" w14:textId="77777777">
        <w:trPr>
          <w:cantSplit/>
          <w:tblHeader/>
          <w:jc w:val="center"/>
        </w:trPr>
        <w:tc>
          <w:tcPr>
            <w:tcW w:w="1000" w:type="dxa"/>
            <w:tcBorders>
              <w:bottom w:val="single" w:sz="6" w:space="0" w:color="000000"/>
            </w:tcBorders>
            <w:vAlign w:val="center"/>
          </w:tcPr>
          <w:p w14:paraId="25861C50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Section</w:t>
            </w:r>
          </w:p>
        </w:tc>
        <w:tc>
          <w:tcPr>
            <w:tcW w:w="4200" w:type="dxa"/>
            <w:tcBorders>
              <w:bottom w:val="single" w:sz="6" w:space="0" w:color="000000"/>
            </w:tcBorders>
            <w:vAlign w:val="center"/>
          </w:tcPr>
          <w:p w14:paraId="24F8EF6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Topic</w:t>
            </w:r>
          </w:p>
        </w:tc>
        <w:tc>
          <w:tcPr>
            <w:tcW w:w="3826" w:type="dxa"/>
            <w:tcBorders>
              <w:bottom w:val="single" w:sz="6" w:space="0" w:color="000000"/>
            </w:tcBorders>
            <w:vAlign w:val="center"/>
          </w:tcPr>
          <w:p w14:paraId="7D05CB3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Equations, tables and figures</w:t>
            </w:r>
          </w:p>
        </w:tc>
      </w:tr>
      <w:tr w:rsidR="005639C1" w14:paraId="32BC28D9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8324D7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4200" w:type="dxa"/>
            <w:vAlign w:val="center"/>
          </w:tcPr>
          <w:p w14:paraId="3CD2C238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Model equations and velocity-selection rule</w:t>
            </w:r>
          </w:p>
        </w:tc>
        <w:tc>
          <w:tcPr>
            <w:tcW w:w="3826" w:type="dxa"/>
            <w:vAlign w:val="center"/>
          </w:tcPr>
          <w:p w14:paraId="7C71BF1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Equations S1–S3; Table S1; </w:t>
            </w:r>
            <w:r>
              <w:rPr>
                <w:sz w:val="20"/>
                <w:szCs w:val="20"/>
              </w:rPr>
              <w:t>Figure</w:t>
            </w:r>
            <w:r>
              <w:rPr>
                <w:sz w:val="20"/>
                <w:szCs w:val="20"/>
              </w:rPr>
              <w:t xml:space="preserve"> S1</w:t>
            </w:r>
          </w:p>
        </w:tc>
      </w:tr>
      <w:tr w:rsidR="005639C1" w14:paraId="4036680E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777EADD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S2</w:t>
            </w:r>
          </w:p>
        </w:tc>
        <w:tc>
          <w:tcPr>
            <w:tcW w:w="4200" w:type="dxa"/>
            <w:vAlign w:val="center"/>
          </w:tcPr>
          <w:p w14:paraId="4E7A1EEA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Geometry and mesh generation</w:t>
            </w:r>
          </w:p>
        </w:tc>
        <w:tc>
          <w:tcPr>
            <w:tcW w:w="3826" w:type="dxa"/>
            <w:vAlign w:val="center"/>
          </w:tcPr>
          <w:p w14:paraId="3E00CFF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 S4; Tables S2–S3; Figures </w:t>
            </w:r>
            <w:r>
              <w:rPr>
                <w:sz w:val="20"/>
                <w:szCs w:val="20"/>
              </w:rPr>
              <w:t>S2</w:t>
            </w:r>
            <w:r>
              <w:rPr>
                <w:sz w:val="20"/>
                <w:szCs w:val="20"/>
              </w:rPr>
              <w:t>–</w:t>
            </w:r>
            <w:r>
              <w:rPr>
                <w:sz w:val="20"/>
                <w:szCs w:val="20"/>
              </w:rPr>
              <w:t>S3</w:t>
            </w:r>
          </w:p>
        </w:tc>
      </w:tr>
      <w:tr w:rsidR="005639C1" w14:paraId="052F9E0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242C59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4200" w:type="dxa"/>
            <w:vAlign w:val="center"/>
          </w:tcPr>
          <w:p w14:paraId="56A2156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Simulation settings and parameters</w:t>
            </w:r>
          </w:p>
        </w:tc>
        <w:tc>
          <w:tcPr>
            <w:tcW w:w="3826" w:type="dxa"/>
            <w:vAlign w:val="center"/>
          </w:tcPr>
          <w:p w14:paraId="231C066F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S4</w:t>
            </w:r>
          </w:p>
        </w:tc>
      </w:tr>
      <w:tr w:rsidR="005639C1" w14:paraId="222CD736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ECE33E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S4</w:t>
            </w:r>
          </w:p>
        </w:tc>
        <w:tc>
          <w:tcPr>
            <w:tcW w:w="4200" w:type="dxa"/>
            <w:vAlign w:val="center"/>
          </w:tcPr>
          <w:p w14:paraId="17A92791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Sensitivity analysis</w:t>
            </w:r>
          </w:p>
        </w:tc>
        <w:tc>
          <w:tcPr>
            <w:tcW w:w="3826" w:type="dxa"/>
            <w:vAlign w:val="center"/>
          </w:tcPr>
          <w:p w14:paraId="4F5F9D9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Tables S5–S6; Figure </w:t>
            </w:r>
            <w:r>
              <w:rPr>
                <w:sz w:val="20"/>
                <w:szCs w:val="20"/>
              </w:rPr>
              <w:t>S4</w:t>
            </w:r>
          </w:p>
        </w:tc>
      </w:tr>
      <w:tr w:rsidR="005639C1" w14:paraId="3C68CD9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D48FF0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S5</w:t>
            </w:r>
          </w:p>
        </w:tc>
        <w:tc>
          <w:tcPr>
            <w:tcW w:w="4200" w:type="dxa"/>
            <w:vAlign w:val="center"/>
          </w:tcPr>
          <w:p w14:paraId="646D2D5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Bayesian calibration and validation</w:t>
            </w:r>
          </w:p>
        </w:tc>
        <w:tc>
          <w:tcPr>
            <w:tcW w:w="3826" w:type="dxa"/>
            <w:vAlign w:val="center"/>
          </w:tcPr>
          <w:p w14:paraId="4B70AB4F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 S5; Tables S7–S10; Figure </w:t>
            </w:r>
            <w:r>
              <w:rPr>
                <w:sz w:val="20"/>
                <w:szCs w:val="20"/>
              </w:rPr>
              <w:t>S5</w:t>
            </w:r>
          </w:p>
        </w:tc>
      </w:tr>
      <w:tr w:rsidR="005639C1" w14:paraId="6A908FD4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4DFD4F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S6</w:t>
            </w:r>
          </w:p>
        </w:tc>
        <w:tc>
          <w:tcPr>
            <w:tcW w:w="4200" w:type="dxa"/>
            <w:vAlign w:val="center"/>
          </w:tcPr>
          <w:p w14:paraId="39F99AC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Uncertainty analysis</w:t>
            </w:r>
          </w:p>
        </w:tc>
        <w:tc>
          <w:tcPr>
            <w:tcW w:w="3826" w:type="dxa"/>
            <w:vAlign w:val="center"/>
          </w:tcPr>
          <w:p w14:paraId="37B309ED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Table S11; Figure S6</w:t>
            </w:r>
          </w:p>
        </w:tc>
      </w:tr>
      <w:tr w:rsidR="005639C1" w14:paraId="0DC15D8B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46EAA3D6" w14:textId="77777777" w:rsidR="005639C1" w:rsidRDefault="007163D0">
            <w:pPr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S7</w:t>
            </w:r>
          </w:p>
        </w:tc>
        <w:tc>
          <w:tcPr>
            <w:tcW w:w="4200" w:type="dxa"/>
            <w:vAlign w:val="center"/>
          </w:tcPr>
          <w:p w14:paraId="329C3132" w14:textId="77777777" w:rsidR="005639C1" w:rsidRDefault="007163D0">
            <w:pPr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Case-study results</w:t>
            </w:r>
          </w:p>
        </w:tc>
        <w:tc>
          <w:tcPr>
            <w:tcW w:w="3826" w:type="dxa"/>
            <w:vAlign w:val="center"/>
          </w:tcPr>
          <w:p w14:paraId="2D180695" w14:textId="77777777" w:rsidR="005639C1" w:rsidRDefault="007163D0">
            <w:pPr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Table S12; Figures S7–S9</w:t>
            </w:r>
          </w:p>
        </w:tc>
      </w:tr>
    </w:tbl>
    <w:p w14:paraId="03DBB6A3" w14:textId="77777777" w:rsidR="003D0986" w:rsidRDefault="001C0510" w:rsidP="00BE6B79">
      <w:pPr>
        <w:pStyle w:val="Heading1"/>
        <w:pageBreakBefore/>
        <w:spacing w:before="360"/>
      </w:pPr>
      <w:r>
        <w:lastRenderedPageBreak/>
        <w:t>S1. Model equations and velocity-selection rule</w:t>
      </w:r>
    </w:p>
    <w:p w14:paraId="1EFA46C9" w14:textId="27869662" w:rsidR="005639C1" w:rsidRDefault="007163D0">
      <w:pPr>
        <w:pStyle w:val="BodyText"/>
        <w:spacing w:after="120"/>
        <w:ind w:firstLine="0"/>
      </w:pPr>
      <w:r>
        <w:t>This section defines the quantities used to evaluate the simulations (Equations S1–S3) and documents the choice of velocity-selection rule (Rules A–D; Table S1 and Figure S1).</w:t>
      </w:r>
    </w:p>
    <w:p w14:paraId="027A5002" w14:textId="77777777" w:rsidR="001C0510" w:rsidRPr="00A53676" w:rsidRDefault="009E3506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CR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8.76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</w:rPr>
                <m:t> 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W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Zn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 A t</m:t>
                  </m:r>
                </m:den>
              </m:f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S1</m:t>
                  </m:r>
                </m:e>
              </m:d>
            </m:e>
          </m:eqArr>
        </m:oMath>
      </m:oMathPara>
    </w:p>
    <w:p w14:paraId="295C1F0A" w14:textId="77777777" w:rsidR="00A53676" w:rsidRPr="00FD0272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 w:rsidRPr="00A53676">
        <w:t xml:space="preserve">where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(g) is the cumulative mass loss,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(cm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53676">
        <w:t xml:space="preserve">) is the exposed area from the zero-level set </w:t>
      </w:r>
      <m:oMath>
        <m:r>
          <m:rPr>
            <m:sty m:val="p"/>
          </m:rPr>
          <w:rPr>
            <w:rFonts w:ascii="Cambria Math" w:hAnsi="Cambria Math"/>
          </w:rPr>
          <m:t>Γ(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53676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Zn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7.14 g 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 w:rsidRPr="00A53676">
        <w:t xml:space="preserve">, and </w:t>
      </w:r>
      <m:oMath>
        <m:r>
          <w:rPr>
            <w:rFonts w:ascii="Cambria Math" w:hAnsi="Cambria Math"/>
          </w:rPr>
          <m:t>t</m:t>
        </m:r>
      </m:oMath>
      <w:r w:rsidRPr="00A53676">
        <w:t xml:space="preserve"> (h) is the exposure time, with both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and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updated at every time step.</w:t>
      </w:r>
    </w:p>
    <w:p w14:paraId="4E1F92F5" w14:textId="77777777" w:rsidR="00FD0272" w:rsidRPr="00A53676" w:rsidRDefault="009E3506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pH=14+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OH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-</m:t>
                                  </m:r>
                                </m:sup>
                              </m:sSup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1000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S2</m:t>
                  </m:r>
                </m:e>
              </m:d>
            </m:e>
          </m:eqArr>
        </m:oMath>
      </m:oMathPara>
    </w:p>
    <w:p w14:paraId="2C55A70F" w14:textId="77777777" w:rsidR="00A53676" w:rsidRPr="00D664E5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OH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</m:sub>
        </m:sSub>
      </m:oMath>
      <w:r>
        <w:t xml:space="preserve"> </w:t>
      </w:r>
      <w:r w:rsidRPr="00A53676">
        <w:t xml:space="preserve">is the hydroxide ion concentration in the </w:t>
      </w:r>
      <w:proofErr w:type="gramStart"/>
      <w:r w:rsidRPr="00A53676">
        <w:t>electrolyte.</w:t>
      </w:r>
      <w:proofErr w:type="gramEnd"/>
    </w:p>
    <w:p w14:paraId="6CF6AD0F" w14:textId="77777777" w:rsidR="00D664E5" w:rsidRPr="002634AA" w:rsidRDefault="009E3506" w:rsidP="00D664E5">
      <w:pPr>
        <w:pStyle w:val="BodyText"/>
        <w:spacing w:before="120" w:after="120"/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Da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|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  <m:sup>
                      <m:r>
                        <m:rPr>
                          <m:nor/>
                        </m:rPr>
                        <m:t>eff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∇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d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S3</m:t>
                  </m:r>
                </m:e>
              </m:d>
            </m:e>
          </m:eqArr>
        </m:oMath>
      </m:oMathPara>
    </w:p>
    <w:p w14:paraId="4E5A04A5" w14:textId="77777777" w:rsidR="002634AA" w:rsidRDefault="002634AA" w:rsidP="006D5290">
      <w:pPr>
        <w:pStyle w:val="BodyText"/>
        <w:ind w:firstLine="0"/>
        <w:rPr>
          <w:rFonts w:cs="Times New Roman"/>
        </w:rPr>
      </w:pPr>
      <w:r w:rsidRPr="002634AA">
        <w:rPr>
          <w:rFonts w:cs="Times New Roman"/>
        </w:rP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ORR</m:t>
            </m:r>
          </m:sub>
        </m:sSub>
      </m:oMath>
      <w:r w:rsidRPr="002634AA">
        <w:rPr>
          <w:rFonts w:cs="Times New Roman"/>
        </w:rPr>
        <w:t xml:space="preserve">​ is the ORR rate constant,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</m:oMath>
      <w:r w:rsidRPr="002634AA">
        <w:rPr>
          <w:rFonts w:cs="Times New Roman"/>
        </w:rPr>
        <w:t xml:space="preserve"> is the local oxygen concentration,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  <m:sup>
            <m:r>
              <m:rPr>
                <m:nor/>
              </m:rPr>
              <m:t>eff</m:t>
            </m:r>
          </m:sup>
        </m:sSubSup>
      </m:oMath>
      <w:r w:rsidRPr="002634AA">
        <w:rPr>
          <w:rFonts w:cs="Times New Roman"/>
        </w:rPr>
        <w:t xml:space="preserve">​ is the effective oxygen diffusivity, and </w:t>
      </w: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2634AA">
        <w:rPr>
          <w:rFonts w:cs="Times New Roman"/>
        </w:rPr>
        <w:t xml:space="preserve"> is the oxygen concentration gradient normal to the corroding surface. The Damköhler number represents the ratio of oxygen consumption to oxygen transport, with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&lt;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reaction-controlled corrosion and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&gt;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diffusion-controlled corrosion.</w:t>
      </w:r>
    </w:p>
    <w:p w14:paraId="6E7112DE" w14:textId="77777777" w:rsidR="007E2F54" w:rsidRPr="007E2F54" w:rsidRDefault="007E2F54" w:rsidP="007E2F54">
      <w:pPr>
        <w:pStyle w:val="BodyText"/>
        <w:spacing w:after="120"/>
        <w:ind w:firstLine="0"/>
        <w:rPr>
          <w:rFonts w:cs="Times New Roman"/>
        </w:rPr>
      </w:pPr>
      <w:r w:rsidRPr="007E2F54">
        <w:rPr>
          <w:rFonts w:cs="Times New Roman"/>
        </w:rPr>
        <w:t>Four velocity-selection formulations were evaluated against literature Zn degradation data. The candidate formulations were: </w:t>
      </w:r>
    </w:p>
    <w:p w14:paraId="02EDC231" w14:textId="77777777" w:rsidR="007E2F54" w:rsidRPr="007125DF" w:rsidRDefault="007E2F54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A: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,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763F88DF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Rule B:    v = </m:t>
          </m:r>
          <m:sSup>
            <m:sSup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dPr>
                <m:e>
                  <m:d>
                    <m:dPr>
                      <m:ctrlPr>
                        <w:rPr>
                          <w:rStyle w:val="normaltextrun"/>
                          <w:rFonts w:ascii="Cambria Math" w:eastAsiaTheme="majorEastAsia" w:hAnsi="Cambria Math" w:cs="Segoe UI"/>
                          <w:i/>
                          <w:iCs/>
                          <w:sz w:val="22"/>
                          <w:szCs w:val="2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Zn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ORR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i/>
                                      <w:iCs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</m:den>
                      </m:f>
                    </m:e>
                  </m:d>
                </m:e>
              </m:d>
            </m:e>
            <m:sup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-1</m:t>
              </m:r>
            </m:sup>
          </m:sSup>
        </m:oMath>
      </m:oMathPara>
    </w:p>
    <w:p w14:paraId="7E72C042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C: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 +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13468E74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eop"/>
          <w:rFonts w:ascii="Cambria" w:eastAsiaTheme="majorEastAsia" w:hAnsi="Cambria" w:cs="Segoe UI"/>
          <w:i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D: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  (No oxygen diffusion cap)</m:t>
          </m:r>
        </m:oMath>
      </m:oMathPara>
    </w:p>
    <w:p w14:paraId="14D3AFF7" w14:textId="4040AA88" w:rsidR="007E2F54" w:rsidRDefault="00F67414" w:rsidP="007E2F54">
      <w:pPr>
        <w:pStyle w:val="BodyText"/>
        <w:spacing w:after="120"/>
        <w:ind w:firstLine="0"/>
        <w:rPr>
          <w:rFonts w:cs="Times New Roman"/>
        </w:rPr>
      </w:pPr>
      <w:r w:rsidRPr="00F67414">
        <w:t xml:space="preserve">Rule A (hard minimum) was selected on physical and numerical grounds, with agreement to literature data used only as a consistency check. RMSE was not the selection criterion because it depends on calibration and could be reduced for any rule through recalibration. Rule A reflects the physical assumption that the slowest rate-limiting process controls degradation, which is consistent with the simulations showing oxygen-diffusion control over &gt;99% of the interface at 672 h. Rules B and C introduce additional blending terms without improving the </w:t>
      </w:r>
      <w:r w:rsidRPr="00F67414">
        <w:lastRenderedPageBreak/>
        <w:t>governing physics, while Rule D removes the oxygen-diffusion constraint and substantially overpredicts mass loss. Finally, the hard minimum caused no significant numerical issues, with only two regime transitions occurring during the initial transient.</w:t>
      </w:r>
    </w:p>
    <w:p w14:paraId="41E906DA" w14:textId="77777777" w:rsidR="0021293D" w:rsidRDefault="0021293D" w:rsidP="0021293D">
      <w:pPr>
        <w:pStyle w:val="Captions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60227BE3" wp14:editId="25F7AA01">
            <wp:extent cx="5731510" cy="198945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8B3A3" w14:textId="79772A87" w:rsidR="0021293D" w:rsidRPr="0021293D" w:rsidRDefault="0021293D" w:rsidP="0021293D">
      <w:pPr>
        <w:pStyle w:val="Captions"/>
        <w:spacing w:before="80" w:after="360"/>
      </w:pPr>
      <w:r w:rsidRPr="0039482A">
        <w:rPr>
          <w:b/>
          <w:bCs/>
          <w:sz w:val="20"/>
          <w:szCs w:val="20"/>
        </w:rPr>
        <w:t>Figure 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Figure \* ARABIC </w:instrText>
      </w:r>
      <w:r w:rsidRPr="0039482A">
        <w:rPr>
          <w:b/>
          <w:bCs/>
          <w:sz w:val="20"/>
          <w:szCs w:val="20"/>
        </w:rPr>
        <w:fldChar w:fldCharType="separate"/>
      </w:r>
      <w:r w:rsidR="00F121A4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1293D">
        <w:rPr>
          <w:sz w:val="20"/>
          <w:szCs w:val="20"/>
        </w:rPr>
        <w:t>Interface recession velocity components for (a) a Zn disc and (b) a Zn stent during 672 h of immersion. The zinc transport-limited (</w:t>
      </w:r>
      <w:proofErr w:type="spellStart"/>
      <w:r>
        <w:rPr>
          <w:sz w:val="20"/>
          <w:szCs w:val="20"/>
        </w:rPr>
        <w:t>v</w:t>
      </w:r>
      <w:r w:rsidRPr="0021293D">
        <w:rPr>
          <w:sz w:val="20"/>
          <w:szCs w:val="20"/>
          <w:vertAlign w:val="subscript"/>
        </w:rPr>
        <w:t>Zn</w:t>
      </w:r>
      <w:proofErr w:type="spellEnd"/>
      <w:r w:rsidRPr="0021293D">
        <w:rPr>
          <w:sz w:val="20"/>
          <w:szCs w:val="20"/>
        </w:rPr>
        <w:t>​), oxygen reduction-limited (</w:t>
      </w:r>
      <w:proofErr w:type="spellStart"/>
      <w:r>
        <w:rPr>
          <w:sz w:val="20"/>
          <w:szCs w:val="20"/>
        </w:rPr>
        <w:t>v</w:t>
      </w:r>
      <w:r>
        <w:rPr>
          <w:sz w:val="20"/>
          <w:szCs w:val="20"/>
          <w:vertAlign w:val="subscript"/>
        </w:rPr>
        <w:t>ORR</w:t>
      </w:r>
      <w:proofErr w:type="spellEnd"/>
      <w:r w:rsidRPr="0021293D">
        <w:rPr>
          <w:sz w:val="20"/>
          <w:szCs w:val="20"/>
        </w:rPr>
        <w:t>​), and oxygen diffusion-limited (</w:t>
      </w:r>
      <w:r>
        <w:rPr>
          <w:sz w:val="20"/>
          <w:szCs w:val="20"/>
        </w:rPr>
        <w:t>v</w:t>
      </w:r>
      <w:r>
        <w:rPr>
          <w:sz w:val="20"/>
          <w:szCs w:val="20"/>
          <w:vertAlign w:val="subscript"/>
        </w:rPr>
        <w:t xml:space="preserve">O2, </w:t>
      </w:r>
      <w:r w:rsidRPr="0021293D">
        <w:rPr>
          <w:sz w:val="20"/>
          <w:szCs w:val="20"/>
          <w:vertAlign w:val="subscript"/>
        </w:rPr>
        <w:t>diff</w:t>
      </w:r>
      <w:r w:rsidRPr="0021293D">
        <w:rPr>
          <w:sz w:val="20"/>
          <w:szCs w:val="20"/>
        </w:rPr>
        <w:t>​) velocities are shown separately.</w:t>
      </w:r>
    </w:p>
    <w:p w14:paraId="7FD030E7" w14:textId="637A52A6" w:rsidR="00ED14A2" w:rsidRDefault="00ED14A2" w:rsidP="00ED14A2">
      <w:pPr>
        <w:pStyle w:val="Captions"/>
        <w:keepNext/>
        <w:spacing w:before="360" w:after="80"/>
      </w:pPr>
      <w:r w:rsidRPr="0039482A">
        <w:rPr>
          <w:b/>
          <w:bCs/>
          <w:sz w:val="20"/>
          <w:szCs w:val="20"/>
        </w:rPr>
        <w:t xml:space="preserve">Table </w:t>
      </w:r>
      <w:r w:rsidR="0039482A" w:rsidRPr="0039482A">
        <w:rPr>
          <w:b/>
          <w:bCs/>
          <w:sz w:val="20"/>
          <w:szCs w:val="20"/>
        </w:rPr>
        <w:t>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Table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A34D79">
        <w:rPr>
          <w:sz w:val="20"/>
          <w:szCs w:val="20"/>
        </w:rPr>
        <w:t xml:space="preserve">Comparison of the candidate velocity-selection formulations. Rule A (hard minimum) </w:t>
      </w:r>
      <w:r>
        <w:rPr>
          <w:sz w:val="20"/>
          <w:szCs w:val="20"/>
        </w:rPr>
        <w:t xml:space="preserve">gave the lowest RMSE</w:t>
      </w:r>
      <w:ins w:id="9003" w:author="Claude" w:date="2026-10-08T23:09:54Z">
        <w:r>
          <w:rPr>
            <w:sz w:val="20"/>
            <w:szCs w:val="20"/>
          </w:rPr>
          <w:t xml:space="preserve">, which was used as a consistency check but was not the main selection criterion,</w:t>
        </w:r>
      </w:ins>
      <w:r>
        <w:rPr>
          <w:sz w:val="20"/>
          <w:szCs w:val="20"/>
        </w:rPr>
        <w:t xml:space="preserve"> and was adopted on physical grounds (</w:t>
      </w:r>
      <w:r w:rsidR="00F121A4" w:rsidRPr="00F121A4">
        <w:rPr>
          <w:sz w:val="20"/>
          <w:szCs w:val="20"/>
        </w:rPr>
        <w:t>RMSE values may differ from those of the calibrated model, as these validation cases were evaluated prior to model calibration</w:t>
      </w:r>
      <w:r>
        <w:rPr>
          <w:sz w:val="20"/>
          <w:szCs w:val="20"/>
        </w:rPr>
        <w:t>)</w:t>
      </w:r>
      <w:r w:rsidRPr="00A34D79">
        <w:rPr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F36A97" w:rsidRPr="00F36A97" w14:paraId="3D6DB16D" w14:textId="77777777" w:rsidTr="00ED14A2">
        <w:trPr>
          <w:cantSplit/>
          <w:tblHeader/>
          <w:jc w:val="center"/>
        </w:trPr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70F11310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Rule </w:t>
            </w:r>
          </w:p>
        </w:tc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6B754478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Description </w:t>
            </w:r>
          </w:p>
        </w:tc>
        <w:tc>
          <w:tcPr>
            <w:tcW w:w="3008" w:type="dxa"/>
            <w:tcBorders>
              <w:bottom w:val="single" w:sz="6" w:space="0" w:color="000000"/>
            </w:tcBorders>
            <w:vAlign w:val="center"/>
          </w:tcPr>
          <w:p w14:paraId="0CD0B2F2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RMSE (%) </w:t>
            </w:r>
          </w:p>
        </w:tc>
      </w:tr>
      <w:tr w:rsidR="00F36A97" w:rsidRPr="00F36A97" w14:paraId="2BB8564E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343C6F53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A </w:t>
            </w:r>
          </w:p>
        </w:tc>
        <w:tc>
          <w:tcPr>
            <w:tcW w:w="3009" w:type="dxa"/>
            <w:vAlign w:val="center"/>
          </w:tcPr>
          <w:p w14:paraId="0D879CFF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Hard minimum </w:t>
            </w:r>
          </w:p>
        </w:tc>
        <w:tc>
          <w:tcPr>
            <w:tcW w:w="3008" w:type="dxa"/>
            <w:vAlign w:val="center"/>
          </w:tcPr>
          <w:p w14:paraId="269E8DF2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0.0568 </w:t>
            </w:r>
          </w:p>
        </w:tc>
      </w:tr>
      <w:tr w:rsidR="00F36A97" w:rsidRPr="00F36A97" w14:paraId="2595BD0D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9D3BC8F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B </w:t>
            </w:r>
          </w:p>
        </w:tc>
        <w:tc>
          <w:tcPr>
            <w:tcW w:w="3009" w:type="dxa"/>
            <w:vAlign w:val="center"/>
          </w:tcPr>
          <w:p w14:paraId="2AF5AC11" w14:textId="77777777" w:rsidR="00F36A97" w:rsidRPr="00F36A97" w:rsidRDefault="00835703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Mixed control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 </w:t>
            </w:r>
          </w:p>
        </w:tc>
        <w:tc>
          <w:tcPr>
            <w:tcW w:w="3008" w:type="dxa"/>
            <w:vAlign w:val="center"/>
          </w:tcPr>
          <w:p w14:paraId="2DD6D428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0.0770 </w:t>
            </w:r>
          </w:p>
        </w:tc>
      </w:tr>
      <w:tr w:rsidR="00F36A97" w:rsidRPr="00F36A97" w14:paraId="6C1AA8E2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7C82703D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C </w:t>
            </w:r>
          </w:p>
        </w:tc>
        <w:tc>
          <w:tcPr>
            <w:tcW w:w="3009" w:type="dxa"/>
            <w:vAlign w:val="center"/>
          </w:tcPr>
          <w:p w14:paraId="3318D02B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Hybrid cathodic </w:t>
            </w:r>
          </w:p>
        </w:tc>
        <w:tc>
          <w:tcPr>
            <w:tcW w:w="3008" w:type="dxa"/>
            <w:vAlign w:val="center"/>
          </w:tcPr>
          <w:p w14:paraId="59F6CCC6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0.0766 </w:t>
            </w:r>
          </w:p>
        </w:tc>
      </w:tr>
      <w:tr w:rsidR="00F36A97" w:rsidRPr="00F36A97" w14:paraId="103EF97A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5CDE7F4" w14:textId="77777777" w:rsidR="00F36A97" w:rsidRPr="00F36A97" w:rsidRDefault="00F36A97" w:rsidP="00F36A97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 </w:t>
            </w:r>
          </w:p>
        </w:tc>
        <w:tc>
          <w:tcPr>
            <w:tcW w:w="3009" w:type="dxa"/>
            <w:vAlign w:val="center"/>
          </w:tcPr>
          <w:p w14:paraId="57484D3D" w14:textId="77777777" w:rsidR="00F36A97" w:rsidRPr="00F36A97" w:rsidRDefault="00670A5B" w:rsidP="00F36A97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Coupled ORR (no O2 cap)</w:t>
            </w:r>
          </w:p>
        </w:tc>
        <w:tc>
          <w:tcPr>
            <w:tcW w:w="3008" w:type="dxa"/>
            <w:vAlign w:val="center"/>
          </w:tcPr>
          <w:p w14:paraId="0BC7EF96" w14:textId="77777777" w:rsidR="00F36A97" w:rsidRPr="00F36A97" w:rsidRDefault="00F36A97" w:rsidP="00F36A97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0.2983 </w:t>
            </w:r>
          </w:p>
        </w:tc>
      </w:tr>
    </w:tbl>
    <w:p w14:paraId="5AF588B2" w14:textId="77777777" w:rsidR="00554D08" w:rsidRDefault="00554D08" w:rsidP="00554D08">
      <w:pPr>
        <w:pStyle w:val="Heading1"/>
        <w:spacing w:before="360"/>
      </w:pPr>
      <w:r>
        <w:t>S2. Geometry and mesh generation</w:t>
      </w:r>
    </w:p>
    <w:p w14:paraId="02C2AC2C" w14:textId="6CB410C2" w:rsidR="005639C1" w:rsidRDefault="00554D08">
      <w:pPr>
        <w:pStyle w:val="BodyText"/>
        <w:spacing w:after="120"/>
        <w:ind w:firstLine="0"/>
      </w:pPr>
      <w:r w:rsidRPr="00430123">
        <w:t xml:space="preserve">STL implant geometries were converted into tetrahedral finite-element meshes using a </w:t>
      </w:r>
      <w:proofErr w:type="spellStart"/>
      <w:r w:rsidRPr="00430123">
        <w:t>Gmsh</w:t>
      </w:r>
      <w:proofErr w:type="spellEnd"/>
      <w:r w:rsidRPr="00430123">
        <w:t xml:space="preserve"> (v4.13.1)-based workflow [1], with </w:t>
      </w:r>
      <w:proofErr w:type="spellStart"/>
      <w:r w:rsidRPr="00430123">
        <w:t>TetGen</w:t>
      </w:r>
      <w:proofErr w:type="spellEnd"/>
      <w:r w:rsidRPr="00430123">
        <w:t xml:space="preserve"> [2] for tetrahedralization and MMG [3] for adaptive remeshing. Adaptive refinement was applied at the Zn-electrolyte interface, and the resulting Zn-electrolyte meshes were exported in </w:t>
      </w:r>
      <w:proofErr w:type="spellStart"/>
      <w:r w:rsidRPr="00430123">
        <w:t>FreeFEM</w:t>
      </w:r>
      <w:proofErr w:type="spellEnd"/>
      <w:r w:rsidRPr="00430123">
        <w:t>/</w:t>
      </w:r>
      <w:proofErr w:type="spellStart"/>
      <w:r w:rsidRPr="00430123">
        <w:t>Medit</w:t>
      </w:r>
      <w:proofErr w:type="spellEnd"/>
      <w:r w:rsidRPr="00430123">
        <w:t xml:space="preserve"> (.mesh) format for all simulations in </w:t>
      </w:r>
      <w:proofErr w:type="spellStart"/>
      <w:r w:rsidRPr="00430123">
        <w:t>FreeFEM</w:t>
      </w:r>
      <w:proofErr w:type="spellEnd"/>
      <w:r w:rsidRPr="00430123">
        <w:t xml:space="preserve"> (v4.14) [4].</w:t>
      </w:r>
      <w:r>
        <w:t xml:space="preserve"> </w:t>
      </w:r>
      <w:r w:rsidR="007163D0">
        <w:t>Table S2 and Figure S2 report the mesh convergence study, and Table S3 compares an adaptive mesh with a uniform mesh.</w:t>
      </w:r>
    </w:p>
    <w:p w14:paraId="0153C045" w14:textId="77777777" w:rsidR="005639C1" w:rsidRDefault="007163D0">
      <w:pPr>
        <w:pStyle w:val="BodyText"/>
        <w:keepNext/>
        <w:spacing w:after="120"/>
        <w:ind w:firstLine="0"/>
      </w:pPr>
      <w:r>
        <w:t>Mesh convergence was assessed from the relative error of the predicted mass loss with respect to the reference mesh:</w:t>
      </w:r>
    </w:p>
    <w:p w14:paraId="0503D7F6" w14:textId="77777777" w:rsidR="00554D08" w:rsidRPr="00377A22" w:rsidRDefault="009E3506" w:rsidP="00554D08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 xml:space="preserve">RelativeError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%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Reference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MassLoss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Reference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 xml:space="preserve"> X 100#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S4</m:t>
                  </m:r>
                </m:e>
              </m:d>
            </m:e>
          </m:eqArr>
        </m:oMath>
      </m:oMathPara>
    </w:p>
    <w:p w14:paraId="7F80A803" w14:textId="059A4D6E" w:rsidR="005639C1" w:rsidRDefault="007163D0">
      <w:pPr>
        <w:pStyle w:val="BodyText"/>
        <w:spacing w:after="120"/>
        <w:ind w:firstLine="0"/>
      </w:pPr>
      <w:r>
        <w:lastRenderedPageBreak/>
        <w:t xml:space="preserve">where </w:t>
      </w:r>
      <w:proofErr w:type="spellStart"/>
      <w:r>
        <w:t>MassLoss_Li</w:t>
      </w:r>
      <w:proofErr w:type="spellEnd"/>
      <w:r>
        <w:t xml:space="preserve"> is the predicted mass loss for mesh level Li and </w:t>
      </w:r>
      <w:proofErr w:type="spellStart"/>
      <w:r>
        <w:t>MassLoss_Reference</w:t>
      </w:r>
      <w:proofErr w:type="spellEnd"/>
      <w:r>
        <w:t xml:space="preserve"> is the predicted mass loss for the reference mesh (21.25 million elements).</w:t>
      </w:r>
    </w:p>
    <w:p w14:paraId="05BA7C40" w14:textId="090B4801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S2. </w:t>
      </w:r>
      <w:r w:rsidRPr="00AA7E3B">
        <w:rPr>
          <w:sz w:val="20"/>
          <w:szCs w:val="20"/>
        </w:rPr>
        <w:t>Mesh convergence study showing the effect of mesh resolution on predicted 7-day mass loss. Relative errors are calculated with respect to the reference mesh</w:t>
      </w:r>
      <w:r w:rsidR="00E26E6E" w:rsidRPr="00AA7E3B">
        <w:rPr>
          <w:sz w:val="20"/>
          <w:szCs w:val="20"/>
        </w:rPr>
        <w:t xml:space="preserve"> (Mass Loss</w:t>
      </w:r>
      <w:r w:rsidR="00E26E6E" w:rsidRPr="00AA7E3B">
        <w:rPr>
          <w:sz w:val="20"/>
          <w:szCs w:val="20"/>
        </w:rPr>
        <w:t xml:space="preserve"> values may differ from those of the calibrated model, as these validation cases were evaluated prior to model calibration</w:t>
      </w:r>
      <w:r w:rsidR="00E26E6E" w:rsidRPr="00AA7E3B">
        <w:rPr>
          <w:sz w:val="20"/>
          <w:szCs w:val="20"/>
        </w:rPr>
        <w:t>)</w:t>
      </w:r>
      <w:r w:rsidRPr="00AA7E3B">
        <w:rPr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157"/>
        <w:gridCol w:w="2144"/>
        <w:gridCol w:w="2171"/>
        <w:gridCol w:w="2554"/>
      </w:tblGrid>
      <w:tr w:rsidR="00554D08" w:rsidRPr="003347F2" w14:paraId="18E8EF94" w14:textId="77777777" w:rsidTr="00125F9F">
        <w:trPr>
          <w:cantSplit/>
          <w:tblHeader/>
          <w:jc w:val="center"/>
        </w:trPr>
        <w:tc>
          <w:tcPr>
            <w:tcW w:w="2157" w:type="dxa"/>
            <w:tcBorders>
              <w:bottom w:val="single" w:sz="6" w:space="0" w:color="000000"/>
            </w:tcBorders>
            <w:vAlign w:val="center"/>
          </w:tcPr>
          <w:p w14:paraId="5E3D645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Fidelity</w:t>
            </w:r>
          </w:p>
        </w:tc>
        <w:tc>
          <w:tcPr>
            <w:tcW w:w="2144" w:type="dxa"/>
            <w:tcBorders>
              <w:bottom w:val="single" w:sz="6" w:space="0" w:color="000000"/>
            </w:tcBorders>
            <w:vAlign w:val="center"/>
          </w:tcPr>
          <w:p w14:paraId="744017B4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2171" w:type="dxa"/>
            <w:tcBorders>
              <w:bottom w:val="single" w:sz="6" w:space="0" w:color="000000"/>
            </w:tcBorders>
            <w:vAlign w:val="center"/>
          </w:tcPr>
          <w:p w14:paraId="59DA3F03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2554" w:type="dxa"/>
            <w:tcBorders>
              <w:bottom w:val="single" w:sz="6" w:space="0" w:color="000000"/>
            </w:tcBorders>
            <w:vAlign w:val="center"/>
          </w:tcPr>
          <w:p w14:paraId="24B0423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Relative error (%)</w:t>
            </w:r>
          </w:p>
        </w:tc>
      </w:tr>
      <w:tr w:rsidR="00554D08" w:rsidRPr="003347F2" w14:paraId="466647AD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B3BD21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L1 (Very Low)</w:t>
            </w:r>
          </w:p>
        </w:tc>
        <w:tc>
          <w:tcPr>
            <w:tcW w:w="2144" w:type="dxa"/>
            <w:noWrap/>
            <w:vAlign w:val="center"/>
          </w:tcPr>
          <w:p w14:paraId="00F68CB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182,768</w:t>
            </w:r>
          </w:p>
        </w:tc>
        <w:tc>
          <w:tcPr>
            <w:tcW w:w="2171" w:type="dxa"/>
            <w:noWrap/>
            <w:vAlign w:val="center"/>
          </w:tcPr>
          <w:p w14:paraId="0D81780A" w14:textId="63F4016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0.3009</w:t>
            </w:r>
          </w:p>
        </w:tc>
        <w:tc>
          <w:tcPr>
            <w:tcW w:w="2554" w:type="dxa"/>
            <w:noWrap/>
            <w:vAlign w:val="center"/>
          </w:tcPr>
          <w:p w14:paraId="3AE6E184" w14:textId="68994614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87.2</w:t>
            </w:r>
          </w:p>
        </w:tc>
      </w:tr>
      <w:tr w:rsidR="00554D08" w:rsidRPr="003347F2" w14:paraId="74D355B9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5CD89B5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L2 (Low)</w:t>
            </w:r>
          </w:p>
        </w:tc>
        <w:tc>
          <w:tcPr>
            <w:tcW w:w="2144" w:type="dxa"/>
            <w:noWrap/>
            <w:vAlign w:val="center"/>
          </w:tcPr>
          <w:p w14:paraId="7CCCADE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171" w:type="dxa"/>
            <w:noWrap/>
            <w:vAlign w:val="center"/>
          </w:tcPr>
          <w:p w14:paraId="53393BF5" w14:textId="43B7242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0.2029</w:t>
            </w:r>
          </w:p>
        </w:tc>
        <w:tc>
          <w:tcPr>
            <w:tcW w:w="2554" w:type="dxa"/>
            <w:noWrap/>
            <w:vAlign w:val="center"/>
          </w:tcPr>
          <w:p w14:paraId="55BDFE58" w14:textId="5B226DB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26.2</w:t>
            </w:r>
          </w:p>
        </w:tc>
      </w:tr>
      <w:tr w:rsidR="00554D08" w:rsidRPr="003347F2" w14:paraId="5C25D174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6A8C9FA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L3 (Medium)</w:t>
            </w:r>
          </w:p>
        </w:tc>
        <w:tc>
          <w:tcPr>
            <w:tcW w:w="2144" w:type="dxa"/>
            <w:noWrap/>
            <w:vAlign w:val="center"/>
          </w:tcPr>
          <w:p w14:paraId="2FD5B6D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3,454,723</w:t>
            </w:r>
          </w:p>
        </w:tc>
        <w:tc>
          <w:tcPr>
            <w:tcW w:w="2171" w:type="dxa"/>
            <w:noWrap/>
            <w:vAlign w:val="center"/>
          </w:tcPr>
          <w:p w14:paraId="34D42289" w14:textId="4ADE0D75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0.1682</w:t>
            </w:r>
          </w:p>
        </w:tc>
        <w:tc>
          <w:tcPr>
            <w:tcW w:w="2554" w:type="dxa"/>
            <w:noWrap/>
            <w:vAlign w:val="center"/>
          </w:tcPr>
          <w:p w14:paraId="493D9FBC" w14:textId="52D705E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4.6</w:t>
            </w:r>
          </w:p>
        </w:tc>
      </w:tr>
      <w:tr w:rsidR="00554D08" w:rsidRPr="003347F2" w14:paraId="692DE106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1E1270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L4 (High)</w:t>
            </w:r>
          </w:p>
        </w:tc>
        <w:tc>
          <w:tcPr>
            <w:tcW w:w="2144" w:type="dxa"/>
            <w:noWrap/>
            <w:vAlign w:val="center"/>
          </w:tcPr>
          <w:p w14:paraId="25A33A3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4,990,080</w:t>
            </w:r>
          </w:p>
        </w:tc>
        <w:tc>
          <w:tcPr>
            <w:tcW w:w="2171" w:type="dxa"/>
            <w:noWrap/>
            <w:vAlign w:val="center"/>
          </w:tcPr>
          <w:p w14:paraId="01FD47CB" w14:textId="7FAA7F2E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0.1637</w:t>
            </w:r>
          </w:p>
        </w:tc>
        <w:tc>
          <w:tcPr>
            <w:tcW w:w="2554" w:type="dxa"/>
            <w:noWrap/>
            <w:vAlign w:val="center"/>
          </w:tcPr>
          <w:p w14:paraId="6CB7FB3A" w14:textId="1E0955C4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1.8</w:t>
            </w:r>
          </w:p>
        </w:tc>
      </w:tr>
      <w:tr w:rsidR="00554D08" w:rsidRPr="003347F2" w14:paraId="69FCE127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01E84D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L5 (Very High)</w:t>
            </w:r>
          </w:p>
        </w:tc>
        <w:tc>
          <w:tcPr>
            <w:tcW w:w="2144" w:type="dxa"/>
            <w:noWrap/>
            <w:vAlign w:val="center"/>
          </w:tcPr>
          <w:p w14:paraId="4DD9ED0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11,958,220</w:t>
            </w:r>
          </w:p>
        </w:tc>
        <w:tc>
          <w:tcPr>
            <w:tcW w:w="2171" w:type="dxa"/>
            <w:noWrap/>
            <w:vAlign w:val="center"/>
          </w:tcPr>
          <w:p w14:paraId="3C676B6E" w14:textId="5FEF700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0.1616</w:t>
            </w:r>
          </w:p>
        </w:tc>
        <w:tc>
          <w:tcPr>
            <w:tcW w:w="2554" w:type="dxa"/>
            <w:noWrap/>
            <w:vAlign w:val="center"/>
          </w:tcPr>
          <w:p w14:paraId="669129C9" w14:textId="59BA4232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0.5</w:t>
            </w:r>
          </w:p>
        </w:tc>
      </w:tr>
      <w:tr w:rsidR="00554D08" w:rsidRPr="003347F2" w14:paraId="487E698F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5568C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L6 (Ultra High)</w:t>
            </w:r>
          </w:p>
        </w:tc>
        <w:tc>
          <w:tcPr>
            <w:tcW w:w="2144" w:type="dxa"/>
            <w:noWrap/>
            <w:vAlign w:val="center"/>
          </w:tcPr>
          <w:p w14:paraId="04685DCD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171" w:type="dxa"/>
            <w:noWrap/>
            <w:vAlign w:val="center"/>
          </w:tcPr>
          <w:p w14:paraId="32E339D2" w14:textId="61EED123" w:rsidR="00554D08" w:rsidRPr="000212DA" w:rsidRDefault="00D860BF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D860BF">
              <w:rPr>
                <w:rFonts w:cs="Times New Roman"/>
                <w:sz w:val="20"/>
                <w:szCs w:val="20"/>
                <w:lang w:eastAsia="en-US"/>
              </w:rPr>
              <w:t>0.161</w:t>
            </w:r>
            <w:r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554" w:type="dxa"/>
            <w:noWrap/>
            <w:vAlign w:val="center"/>
          </w:tcPr>
          <w:p w14:paraId="522DF78B" w14:textId="205D7BC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="00D860BF">
              <w:rPr>
                <w:rFonts w:cs="Times New Roman"/>
                <w:sz w:val="20"/>
                <w:szCs w:val="20"/>
                <w:lang w:eastAsia="en-US"/>
              </w:rPr>
              <w:t>19</w:t>
            </w:r>
          </w:p>
        </w:tc>
      </w:tr>
      <w:tr w:rsidR="00554D08" w:rsidRPr="003347F2" w14:paraId="17656A58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4A4798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Reference</w:t>
            </w:r>
          </w:p>
        </w:tc>
        <w:tc>
          <w:tcPr>
            <w:tcW w:w="2144" w:type="dxa"/>
            <w:noWrap/>
            <w:vAlign w:val="center"/>
          </w:tcPr>
          <w:p w14:paraId="24D6FD12" w14:textId="7F2560E6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21,245,850</w:t>
            </w:r>
          </w:p>
        </w:tc>
        <w:tc>
          <w:tcPr>
            <w:tcW w:w="2171" w:type="dxa"/>
            <w:noWrap/>
            <w:vAlign w:val="center"/>
          </w:tcPr>
          <w:p w14:paraId="66B76AE3" w14:textId="7143F82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0.1608</w:t>
            </w:r>
          </w:p>
        </w:tc>
        <w:tc>
          <w:tcPr>
            <w:tcW w:w="2554" w:type="dxa"/>
            <w:noWrap/>
            <w:vAlign w:val="center"/>
          </w:tcPr>
          <w:p w14:paraId="258C6E05" w14:textId="22E5CC1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</w:tr>
    </w:tbl>
    <w:p w14:paraId="28AD721C" w14:textId="5C078D5B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S3. </w:t>
      </w:r>
      <w:r w:rsidRPr="00AA7E3B">
        <w:rPr>
          <w:sz w:val="20"/>
          <w:szCs w:val="20"/>
        </w:rPr>
        <w:t xml:space="preserve">Comparison between an adaptive mesh and a uniform mesh </w:t>
      </w:r>
      <w:r w:rsidR="00E730F4" w:rsidRPr="00AA7E3B">
        <w:rPr>
          <w:sz w:val="20"/>
          <w:szCs w:val="20"/>
        </w:rPr>
        <w:t>(</w:t>
      </w:r>
      <w:r w:rsidRPr="00AA7E3B">
        <w:rPr>
          <w:sz w:val="20"/>
          <w:szCs w:val="20"/>
        </w:rPr>
        <w:t>approximately 800,000 elements).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806"/>
        <w:gridCol w:w="1805"/>
        <w:gridCol w:w="1805"/>
        <w:gridCol w:w="1805"/>
        <w:gridCol w:w="1805"/>
      </w:tblGrid>
      <w:tr w:rsidR="00554D08" w:rsidRPr="000212DA" w14:paraId="564351A6" w14:textId="77777777" w:rsidTr="00125F9F">
        <w:trPr>
          <w:cantSplit/>
          <w:tblHeader/>
          <w:jc w:val="center"/>
        </w:trPr>
        <w:tc>
          <w:tcPr>
            <w:tcW w:w="1806" w:type="dxa"/>
            <w:tcBorders>
              <w:bottom w:val="single" w:sz="6" w:space="0" w:color="000000"/>
            </w:tcBorders>
            <w:vAlign w:val="center"/>
          </w:tcPr>
          <w:p w14:paraId="20FF623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Mesh type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06844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3B28391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11232C22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Error vs. reference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D60D11F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Improvement</w:t>
            </w:r>
          </w:p>
        </w:tc>
      </w:tr>
      <w:tr w:rsidR="00554D08" w:rsidRPr="000212DA" w14:paraId="786C0A05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FA040C4" w14:textId="3D3FE88A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Uniform </w:t>
            </w:r>
            <w:r w:rsidR="003C2230"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71E19BE2" w14:textId="77F5F255" w:rsidR="00554D08" w:rsidRPr="000212DA" w:rsidRDefault="003C2230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799,</w:t>
            </w:r>
            <w:r w:rsidR="00554D08" w:rsidRPr="000212DA">
              <w:rPr>
                <w:rFonts w:cs="Times New Roman"/>
                <w:sz w:val="20"/>
                <w:szCs w:val="20"/>
                <w:lang w:eastAsia="en-US"/>
              </w:rPr>
              <w:t>000</w:t>
            </w:r>
          </w:p>
        </w:tc>
        <w:tc>
          <w:tcPr>
            <w:tcW w:w="1805" w:type="dxa"/>
            <w:noWrap/>
            <w:vAlign w:val="center"/>
          </w:tcPr>
          <w:p w14:paraId="77261087" w14:textId="48BA3705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0.2860</w:t>
            </w:r>
          </w:p>
        </w:tc>
        <w:tc>
          <w:tcPr>
            <w:tcW w:w="1805" w:type="dxa"/>
            <w:noWrap/>
            <w:vAlign w:val="center"/>
          </w:tcPr>
          <w:p w14:paraId="0A550CBF" w14:textId="65B9125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77.9</w:t>
            </w:r>
          </w:p>
        </w:tc>
        <w:tc>
          <w:tcPr>
            <w:tcW w:w="1805" w:type="dxa"/>
            <w:noWrap/>
            <w:vAlign w:val="center"/>
          </w:tcPr>
          <w:p w14:paraId="7BD6BF0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Baseline</w:t>
            </w:r>
          </w:p>
        </w:tc>
      </w:tr>
      <w:tr w:rsidR="00554D08" w:rsidRPr="000212DA" w14:paraId="02A9FD1C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3C959ED" w14:textId="31FEE1E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Adaptive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3E8BB98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1805" w:type="dxa"/>
            <w:noWrap/>
            <w:vAlign w:val="center"/>
          </w:tcPr>
          <w:p w14:paraId="1159677B" w14:textId="7BB7796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0.2029</w:t>
            </w:r>
          </w:p>
        </w:tc>
        <w:tc>
          <w:tcPr>
            <w:tcW w:w="1805" w:type="dxa"/>
            <w:noWrap/>
            <w:vAlign w:val="center"/>
          </w:tcPr>
          <w:p w14:paraId="2DE3A1B1" w14:textId="3FD14F4A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26.2</w:t>
            </w:r>
          </w:p>
        </w:tc>
        <w:tc>
          <w:tcPr>
            <w:tcW w:w="1805" w:type="dxa"/>
            <w:noWrap/>
            <w:vAlign w:val="center"/>
          </w:tcPr>
          <w:p w14:paraId="10BECC22" w14:textId="22239F1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0.663</w:t>
            </w:r>
          </w:p>
        </w:tc>
      </w:tr>
      <w:tr w:rsidR="00554D08" w:rsidRPr="000212DA" w14:paraId="5B744610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4E5FDCF5" w14:textId="06EC4AD1" w:rsidR="00554D08" w:rsidRPr="000212DA" w:rsidRDefault="00554D08" w:rsidP="00125F9F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Reference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4EAC8F47" w14:textId="16CB8DF8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21,245,850</w:t>
            </w:r>
          </w:p>
        </w:tc>
        <w:tc>
          <w:tcPr>
            <w:tcW w:w="1805" w:type="dxa"/>
            <w:noWrap/>
            <w:vAlign w:val="center"/>
          </w:tcPr>
          <w:p w14:paraId="4D017354" w14:textId="3D6235D1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0.1608</w:t>
            </w:r>
          </w:p>
        </w:tc>
        <w:tc>
          <w:tcPr>
            <w:tcW w:w="1805" w:type="dxa"/>
            <w:noWrap/>
            <w:vAlign w:val="center"/>
          </w:tcPr>
          <w:p w14:paraId="4BB243DE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  <w:tc>
          <w:tcPr>
            <w:tcW w:w="1805" w:type="dxa"/>
            <w:noWrap/>
            <w:vAlign w:val="center"/>
          </w:tcPr>
          <w:p w14:paraId="10E27A23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</w:tr>
    </w:tbl>
    <w:p w14:paraId="16B0BA3E" w14:textId="350084CA" w:rsidR="00554D08" w:rsidRDefault="00CE4FFD" w:rsidP="00554D08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FF31445" wp14:editId="02D84578">
            <wp:extent cx="5731510" cy="2190115"/>
            <wp:effectExtent l="0" t="0" r="254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59B9E" w14:textId="054593CD" w:rsidR="00554D08" w:rsidRPr="00AA7E3B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r>
        <w:rPr>
          <w:b/>
          <w:bCs/>
          <w:sz w:val="20"/>
          <w:szCs w:val="20"/>
        </w:rPr>
        <w:t>S</w:t>
      </w:r>
      <w:r w:rsidR="00EC20EE">
        <w:rPr>
          <w:b/>
          <w:bCs/>
          <w:sz w:val="20"/>
          <w:szCs w:val="20"/>
        </w:rPr>
        <w:t>2</w:t>
      </w:r>
      <w:r w:rsidRPr="007E2F54">
        <w:rPr>
          <w:b/>
          <w:bCs/>
          <w:sz w:val="20"/>
          <w:szCs w:val="20"/>
        </w:rPr>
        <w:t xml:space="preserve">. </w:t>
      </w:r>
      <w:r w:rsidRPr="00AA7E3B">
        <w:rPr>
          <w:sz w:val="20"/>
          <w:szCs w:val="20"/>
        </w:rPr>
        <w:t>Mesh convergence analysis showing (a) predicted mass loss and (b) relative error as a function of mesh density. Predictions converged with mesh refinement, with &lt;1% error for the final mesh.</w:t>
      </w:r>
    </w:p>
    <w:p w14:paraId="6E04B9ED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8DDEBC9" wp14:editId="44AB43B4">
            <wp:extent cx="5731510" cy="4504966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4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9B07" w14:textId="11D3E016" w:rsidR="00554D08" w:rsidRPr="003A718A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3A718A">
        <w:rPr>
          <w:sz w:val="20"/>
          <w:szCs w:val="20"/>
        </w:rPr>
        <w:t xml:space="preserve"> Generated computational geometries and finite-element domains used for Zn degradation simulations: (a) disc specimen (Ø10 mm × 2 mm), (b) disc embedded within the surrounding electrolyte domain, (c) single-ring six-crown stent, and (d) stent embedded within the surrounding electrolyte domain. The Zn structures are shown in dark grey, and the tetrahedral electrolyte domains are shown in light grey.</w:t>
      </w:r>
    </w:p>
    <w:p w14:paraId="101144F8" w14:textId="5FB4CA75" w:rsidR="00554D08" w:rsidRDefault="00554D08" w:rsidP="00554D08">
      <w:pPr>
        <w:pStyle w:val="Heading1"/>
        <w:spacing w:after="0"/>
      </w:pPr>
      <w:r>
        <w:t>S3. Simulation settings and parameters</w:t>
      </w:r>
    </w:p>
    <w:p w14:paraId="018FA761" w14:textId="4D62BFC9" w:rsidR="005639C1" w:rsidRDefault="007163D0">
      <w:pPr>
        <w:pStyle w:val="BodyText"/>
        <w:spacing w:after="120"/>
        <w:ind w:firstLine="0"/>
      </w:pPr>
      <w:r>
        <w:t>Table S4 lists the mesh, numerical integration, software</w:t>
      </w:r>
      <w:r w:rsidR="00EC20EE">
        <w:t>,</w:t>
      </w:r>
      <w:r>
        <w:t xml:space="preserve"> and boundary-condition settings used for the disc calibration, disc validation</w:t>
      </w:r>
      <w:r w:rsidR="00EC20EE">
        <w:t>,</w:t>
      </w:r>
      <w:r>
        <w:t xml:space="preserve"> and stent simulations. The simulations were run in </w:t>
      </w:r>
      <w:proofErr w:type="spellStart"/>
      <w:r>
        <w:t>FreeFEM</w:t>
      </w:r>
      <w:proofErr w:type="spellEnd"/>
      <w:r>
        <w:t xml:space="preserve"> (v4.14) [4] with </w:t>
      </w:r>
      <w:proofErr w:type="spellStart"/>
      <w:r>
        <w:t>PETSc</w:t>
      </w:r>
      <w:proofErr w:type="spellEnd"/>
      <w:r>
        <w:t xml:space="preserve"> [5] and Open MPI [6], and the level-set function was reinitialized with the </w:t>
      </w:r>
      <w:proofErr w:type="gramStart"/>
      <w:r>
        <w:t>fast marching</w:t>
      </w:r>
      <w:proofErr w:type="gramEnd"/>
      <w:r>
        <w:t xml:space="preserve"> method [7]. Geometry processing and post-processing used scikit-image [8], </w:t>
      </w:r>
      <w:proofErr w:type="spellStart"/>
      <w:r>
        <w:t>trimesh</w:t>
      </w:r>
      <w:proofErr w:type="spellEnd"/>
      <w:r>
        <w:t xml:space="preserve"> [9], </w:t>
      </w:r>
      <w:proofErr w:type="spellStart"/>
      <w:r>
        <w:t>meshio</w:t>
      </w:r>
      <w:proofErr w:type="spellEnd"/>
      <w:r>
        <w:t xml:space="preserve"> [10], SciPy [11], Matplotlib [12]</w:t>
      </w:r>
      <w:r w:rsidR="00EC20EE">
        <w:t>,</w:t>
      </w:r>
      <w:r>
        <w:t xml:space="preserve"> and </w:t>
      </w:r>
      <w:proofErr w:type="spellStart"/>
      <w:r>
        <w:t>ParaView</w:t>
      </w:r>
      <w:proofErr w:type="spellEnd"/>
      <w:r>
        <w:t xml:space="preserve"> [13].</w:t>
      </w:r>
    </w:p>
    <w:p w14:paraId="7F14DA13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65079">
        <w:rPr>
          <w:sz w:val="20"/>
          <w:szCs w:val="20"/>
        </w:rPr>
        <w:t>Mesh generation, numerical integration, software implementation, and boundary-condition settings used for the disc-specimen and stent simulations.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066"/>
        <w:gridCol w:w="2066"/>
        <w:gridCol w:w="2065"/>
      </w:tblGrid>
      <w:tr w:rsidR="00554D08" w:rsidRPr="005D7A85" w14:paraId="56778BAD" w14:textId="77777777" w:rsidTr="005F74D3">
        <w:trPr>
          <w:cantSplit/>
          <w:tblHeader/>
          <w:jc w:val="center"/>
        </w:trPr>
        <w:tc>
          <w:tcPr>
            <w:tcW w:w="2829" w:type="dxa"/>
            <w:tcBorders>
              <w:bottom w:val="single" w:sz="6" w:space="0" w:color="000000"/>
            </w:tcBorders>
            <w:vAlign w:val="center"/>
          </w:tcPr>
          <w:p w14:paraId="5DFF00B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1ACA5A0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Calibration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5FEB615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Validation</w:t>
            </w:r>
          </w:p>
        </w:tc>
        <w:tc>
          <w:tcPr>
            <w:tcW w:w="2065" w:type="dxa"/>
            <w:tcBorders>
              <w:bottom w:val="single" w:sz="6" w:space="0" w:color="000000"/>
            </w:tcBorders>
            <w:vAlign w:val="center"/>
          </w:tcPr>
          <w:p w14:paraId="6402B2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Stent Simulation</w:t>
            </w:r>
          </w:p>
        </w:tc>
      </w:tr>
      <w:tr w:rsidR="00554D08" w:rsidRPr="005D7A85" w14:paraId="0331FFC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3364BD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</w:t>
            </w:r>
          </w:p>
        </w:tc>
        <w:tc>
          <w:tcPr>
            <w:tcW w:w="2066" w:type="dxa"/>
            <w:vAlign w:val="center"/>
          </w:tcPr>
          <w:p w14:paraId="1507F80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DC21F1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B2FC8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733DCD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02EE70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Domain size (X × Y × Z)</w:t>
            </w:r>
          </w:p>
        </w:tc>
        <w:tc>
          <w:tcPr>
            <w:tcW w:w="2066" w:type="dxa"/>
            <w:vAlign w:val="center"/>
          </w:tcPr>
          <w:p w14:paraId="126136E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6" w:type="dxa"/>
            <w:vAlign w:val="center"/>
          </w:tcPr>
          <w:p w14:paraId="36834F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5" w:type="dxa"/>
            <w:vAlign w:val="center"/>
          </w:tcPr>
          <w:p w14:paraId="669EDA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</w:tr>
      <w:tr w:rsidR="00554D08" w:rsidRPr="005D7A85" w14:paraId="76D58F53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BAC211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Specimen geometry</w:t>
            </w:r>
          </w:p>
        </w:tc>
        <w:tc>
          <w:tcPr>
            <w:tcW w:w="2066" w:type="dxa"/>
            <w:vAlign w:val="center"/>
          </w:tcPr>
          <w:p w14:paraId="357E21E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6" w:type="dxa"/>
            <w:vAlign w:val="center"/>
          </w:tcPr>
          <w:p w14:paraId="42E8989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5" w:type="dxa"/>
            <w:vAlign w:val="center"/>
          </w:tcPr>
          <w:p w14:paraId="70333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</w:tr>
      <w:tr w:rsidR="00554D08" w:rsidRPr="005D7A85" w14:paraId="3407590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9E8592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Outer diameter, 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Dout</w:t>
            </w:r>
            <w:proofErr w:type="spellEnd"/>
          </w:p>
        </w:tc>
        <w:tc>
          <w:tcPr>
            <w:tcW w:w="2066" w:type="dxa"/>
            <w:vAlign w:val="center"/>
          </w:tcPr>
          <w:p w14:paraId="61B17D6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71245D2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B15F2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3.20 mm</w:t>
            </w:r>
          </w:p>
        </w:tc>
      </w:tr>
      <w:tr w:rsidR="00554D08" w:rsidRPr="005D7A85" w14:paraId="233257F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8F020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lastRenderedPageBreak/>
              <w:t>Strut dimensions (w × h)</w:t>
            </w:r>
          </w:p>
        </w:tc>
        <w:tc>
          <w:tcPr>
            <w:tcW w:w="2066" w:type="dxa"/>
            <w:vAlign w:val="center"/>
          </w:tcPr>
          <w:p w14:paraId="4F1385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3AE92E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EB50FF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0.15 mm × 0.15 mm</w:t>
            </w:r>
          </w:p>
        </w:tc>
      </w:tr>
      <w:tr w:rsidR="00554D08" w:rsidRPr="005D7A85" w14:paraId="3AE3A3E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D6655E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Crown amplitude, A</w:t>
            </w:r>
          </w:p>
        </w:tc>
        <w:tc>
          <w:tcPr>
            <w:tcW w:w="2066" w:type="dxa"/>
            <w:vAlign w:val="center"/>
          </w:tcPr>
          <w:p w14:paraId="39FA8CA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5BF3E28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6461D6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6C52181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13D5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Axial length, 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Lz</w:t>
            </w:r>
            <w:proofErr w:type="spellEnd"/>
          </w:p>
        </w:tc>
        <w:tc>
          <w:tcPr>
            <w:tcW w:w="2066" w:type="dxa"/>
            <w:vAlign w:val="center"/>
          </w:tcPr>
          <w:p w14:paraId="75FDB6C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21597E3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014C6F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2.40 mm</w:t>
            </w:r>
          </w:p>
        </w:tc>
      </w:tr>
      <w:tr w:rsidR="00554D08" w:rsidRPr="005D7A85" w14:paraId="3F050CD4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47234A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Surface area</w:t>
            </w:r>
          </w:p>
        </w:tc>
        <w:tc>
          <w:tcPr>
            <w:tcW w:w="2066" w:type="dxa"/>
            <w:vAlign w:val="center"/>
          </w:tcPr>
          <w:p w14:paraId="4C5A75AF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6" w:type="dxa"/>
            <w:vAlign w:val="center"/>
          </w:tcPr>
          <w:p w14:paraId="456188F3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5" w:type="dxa"/>
            <w:vAlign w:val="center"/>
          </w:tcPr>
          <w:p w14:paraId="49CFABF7" w14:textId="2FE00511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19.46 mm²</w:t>
            </w:r>
          </w:p>
        </w:tc>
      </w:tr>
      <w:tr w:rsidR="00554D08" w:rsidRPr="005D7A85" w14:paraId="7A5FB6D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CA02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Volume</w:t>
            </w:r>
          </w:p>
        </w:tc>
        <w:tc>
          <w:tcPr>
            <w:tcW w:w="2066" w:type="dxa"/>
            <w:vAlign w:val="center"/>
          </w:tcPr>
          <w:p w14:paraId="43D467C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6" w:type="dxa"/>
            <w:vAlign w:val="center"/>
          </w:tcPr>
          <w:p w14:paraId="469E367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5" w:type="dxa"/>
            <w:vAlign w:val="center"/>
          </w:tcPr>
          <w:p w14:paraId="3E9BCEF7" w14:textId="402F184B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 w:rsidR="007E02D8">
              <w:rPr>
                <w:rFonts w:cs="Times New Roman"/>
                <w:color w:val="000000"/>
                <w:sz w:val="20"/>
                <w:szCs w:val="20"/>
                <w:lang w:eastAsia="en-US"/>
              </w:rPr>
              <w:t>361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mm³</w:t>
            </w:r>
          </w:p>
        </w:tc>
      </w:tr>
      <w:tr w:rsidR="00554D08" w:rsidRPr="005D7A85" w14:paraId="073C8B7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4F7340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SA/V ratio</w:t>
            </w:r>
          </w:p>
        </w:tc>
        <w:tc>
          <w:tcPr>
            <w:tcW w:w="2066" w:type="dxa"/>
            <w:vAlign w:val="center"/>
          </w:tcPr>
          <w:p w14:paraId="5A9387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6" w:type="dxa"/>
            <w:vAlign w:val="center"/>
          </w:tcPr>
          <w:p w14:paraId="68CF561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5" w:type="dxa"/>
            <w:vAlign w:val="center"/>
          </w:tcPr>
          <w:p w14:paraId="75277EE8" w14:textId="19BB1BD8" w:rsidR="00554D08" w:rsidRPr="0017409B" w:rsidRDefault="007E02D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53.9 mm⁻¹</w:t>
            </w:r>
          </w:p>
        </w:tc>
      </w:tr>
      <w:tr w:rsidR="00554D08" w:rsidRPr="005D7A85" w14:paraId="4F949F9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8BEE70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Mesh Properties</w:t>
            </w:r>
          </w:p>
        </w:tc>
        <w:tc>
          <w:tcPr>
            <w:tcW w:w="2066" w:type="dxa"/>
            <w:vAlign w:val="center"/>
          </w:tcPr>
          <w:p w14:paraId="0EB234D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5A0E2A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682431B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272750DA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3BB105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elements</w:t>
            </w:r>
          </w:p>
        </w:tc>
        <w:tc>
          <w:tcPr>
            <w:tcW w:w="2066" w:type="dxa"/>
            <w:vAlign w:val="center"/>
          </w:tcPr>
          <w:p w14:paraId="0A6F959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066" w:type="dxa"/>
            <w:vAlign w:val="center"/>
          </w:tcPr>
          <w:p w14:paraId="75CA27C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065" w:type="dxa"/>
            <w:vAlign w:val="center"/>
          </w:tcPr>
          <w:p w14:paraId="6764F56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21,099,161</w:t>
            </w:r>
          </w:p>
        </w:tc>
      </w:tr>
      <w:tr w:rsidR="00554D08" w:rsidRPr="005D7A85" w14:paraId="15472BE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A558C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vertices</w:t>
            </w:r>
          </w:p>
        </w:tc>
        <w:tc>
          <w:tcPr>
            <w:tcW w:w="2066" w:type="dxa"/>
            <w:vAlign w:val="center"/>
          </w:tcPr>
          <w:p w14:paraId="2EF2FB1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121,120</w:t>
            </w:r>
          </w:p>
        </w:tc>
        <w:tc>
          <w:tcPr>
            <w:tcW w:w="2066" w:type="dxa"/>
            <w:vAlign w:val="center"/>
          </w:tcPr>
          <w:p w14:paraId="3A96D0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2,847,652</w:t>
            </w:r>
          </w:p>
        </w:tc>
        <w:tc>
          <w:tcPr>
            <w:tcW w:w="2065" w:type="dxa"/>
            <w:vAlign w:val="center"/>
          </w:tcPr>
          <w:p w14:paraId="46D2850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3,523,952</w:t>
            </w:r>
          </w:p>
        </w:tc>
      </w:tr>
      <w:tr w:rsidR="00554D08" w:rsidRPr="005D7A85" w14:paraId="7613FE7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66AF64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Minimum element size</w:t>
            </w:r>
          </w:p>
        </w:tc>
        <w:tc>
          <w:tcPr>
            <w:tcW w:w="2066" w:type="dxa"/>
            <w:vAlign w:val="center"/>
          </w:tcPr>
          <w:p w14:paraId="3077140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 mm</w:t>
            </w:r>
          </w:p>
        </w:tc>
        <w:tc>
          <w:tcPr>
            <w:tcW w:w="2066" w:type="dxa"/>
            <w:vAlign w:val="center"/>
          </w:tcPr>
          <w:p w14:paraId="63492624" w14:textId="72FAE84E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EC20EE">
              <w:rPr>
                <w:rFonts w:cs="Times New Roman"/>
                <w:color w:val="000000"/>
                <w:sz w:val="20"/>
                <w:szCs w:val="20"/>
                <w:lang w:eastAsia="en-US"/>
              </w:rPr>
              <w:t>05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2065" w:type="dxa"/>
            <w:vAlign w:val="center"/>
          </w:tcPr>
          <w:p w14:paraId="084910BE" w14:textId="3A27FB8B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0.005 mm</w:t>
            </w:r>
          </w:p>
        </w:tc>
      </w:tr>
      <w:tr w:rsidR="00554D08" w:rsidRPr="005D7A85" w14:paraId="42F3ECF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81548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Maximum element size</w:t>
            </w:r>
          </w:p>
        </w:tc>
        <w:tc>
          <w:tcPr>
            <w:tcW w:w="2066" w:type="dxa"/>
            <w:vAlign w:val="center"/>
          </w:tcPr>
          <w:p w14:paraId="63970E8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6" w:type="dxa"/>
            <w:vAlign w:val="center"/>
          </w:tcPr>
          <w:p w14:paraId="35154F7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5" w:type="dxa"/>
            <w:vAlign w:val="center"/>
          </w:tcPr>
          <w:p w14:paraId="0D95B2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75CA126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684F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Element type</w:t>
            </w:r>
          </w:p>
        </w:tc>
        <w:tc>
          <w:tcPr>
            <w:tcW w:w="2066" w:type="dxa"/>
            <w:vAlign w:val="center"/>
          </w:tcPr>
          <w:p w14:paraId="1AB7CB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6" w:type="dxa"/>
            <w:vAlign w:val="center"/>
          </w:tcPr>
          <w:p w14:paraId="17FE2A9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5" w:type="dxa"/>
            <w:vAlign w:val="center"/>
          </w:tcPr>
          <w:p w14:paraId="0CB423B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</w:tr>
      <w:tr w:rsidR="00554D08" w:rsidRPr="005D7A85" w14:paraId="630BAA8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43179E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Integration</w:t>
            </w:r>
          </w:p>
        </w:tc>
        <w:tc>
          <w:tcPr>
            <w:tcW w:w="2066" w:type="dxa"/>
            <w:vAlign w:val="center"/>
          </w:tcPr>
          <w:p w14:paraId="591E3D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AF26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3CD218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3503F5B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198F8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step (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Δt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74794DF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6" w:type="dxa"/>
            <w:vAlign w:val="center"/>
          </w:tcPr>
          <w:p w14:paraId="6CB2352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5" w:type="dxa"/>
            <w:vAlign w:val="center"/>
          </w:tcPr>
          <w:p w14:paraId="0BAE33C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</w:tr>
      <w:tr w:rsidR="00554D08" w:rsidRPr="005D7A85" w14:paraId="1A0095B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3F714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Simulation duration</w:t>
            </w:r>
          </w:p>
        </w:tc>
        <w:tc>
          <w:tcPr>
            <w:tcW w:w="2066" w:type="dxa"/>
            <w:vAlign w:val="center"/>
          </w:tcPr>
          <w:p w14:paraId="68E7A3B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 h (14 days)</w:t>
            </w:r>
          </w:p>
        </w:tc>
        <w:tc>
          <w:tcPr>
            <w:tcW w:w="2066" w:type="dxa"/>
            <w:vAlign w:val="center"/>
          </w:tcPr>
          <w:p w14:paraId="1980B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  <w:tc>
          <w:tcPr>
            <w:tcW w:w="2065" w:type="dxa"/>
            <w:vAlign w:val="center"/>
          </w:tcPr>
          <w:p w14:paraId="78FCEC42" w14:textId="77777777" w:rsidR="00554D08" w:rsidRPr="0017409B" w:rsidRDefault="007E1315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</w:tr>
      <w:tr w:rsidR="00554D08" w:rsidRPr="005D7A85" w14:paraId="618A480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7B68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Level-set reinitialization interval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Fast marching method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50673E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6" w:type="dxa"/>
            <w:vAlign w:val="center"/>
          </w:tcPr>
          <w:p w14:paraId="23C8DA0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5" w:type="dxa"/>
            <w:vAlign w:val="center"/>
          </w:tcPr>
          <w:p w14:paraId="6B601E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</w:tr>
      <w:tr w:rsidR="00554D08" w:rsidRPr="005D7A85" w14:paraId="56A89EB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0FB3A1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Computational Resources</w:t>
            </w:r>
          </w:p>
        </w:tc>
        <w:tc>
          <w:tcPr>
            <w:tcW w:w="2066" w:type="dxa"/>
            <w:vAlign w:val="center"/>
          </w:tcPr>
          <w:p w14:paraId="10F091F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CBC7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01773E9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6D6E673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DDCA77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MPI processes</w:t>
            </w:r>
          </w:p>
        </w:tc>
        <w:tc>
          <w:tcPr>
            <w:tcW w:w="2066" w:type="dxa"/>
            <w:vAlign w:val="center"/>
          </w:tcPr>
          <w:p w14:paraId="3512851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6" w:type="dxa"/>
            <w:vAlign w:val="center"/>
          </w:tcPr>
          <w:p w14:paraId="2289521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5" w:type="dxa"/>
            <w:vAlign w:val="center"/>
          </w:tcPr>
          <w:p w14:paraId="091E60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64</w:t>
            </w:r>
          </w:p>
        </w:tc>
      </w:tr>
      <w:tr w:rsidR="00554D08" w:rsidRPr="005D7A85" w14:paraId="4710BD49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79A70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Average DOF per process</w:t>
            </w:r>
          </w:p>
        </w:tc>
        <w:tc>
          <w:tcPr>
            <w:tcW w:w="2066" w:type="dxa"/>
            <w:vAlign w:val="center"/>
          </w:tcPr>
          <w:p w14:paraId="390A9F6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2,592</w:t>
            </w:r>
          </w:p>
        </w:tc>
        <w:tc>
          <w:tcPr>
            <w:tcW w:w="2066" w:type="dxa"/>
            <w:vAlign w:val="center"/>
          </w:tcPr>
          <w:p w14:paraId="6792DC2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5" w:type="dxa"/>
            <w:vAlign w:val="center"/>
          </w:tcPr>
          <w:p w14:paraId="0815CAC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59,061</w:t>
            </w:r>
          </w:p>
        </w:tc>
      </w:tr>
      <w:tr w:rsidR="00554D08" w:rsidRPr="005D7A85" w14:paraId="449F026F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83A6B9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Preconditioner</w:t>
            </w:r>
          </w:p>
        </w:tc>
        <w:tc>
          <w:tcPr>
            <w:tcW w:w="2066" w:type="dxa"/>
            <w:vAlign w:val="center"/>
          </w:tcPr>
          <w:p w14:paraId="243D6F8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6" w:type="dxa"/>
            <w:vAlign w:val="center"/>
          </w:tcPr>
          <w:p w14:paraId="63ED077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5" w:type="dxa"/>
            <w:vAlign w:val="center"/>
          </w:tcPr>
          <w:p w14:paraId="1744C7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</w:tr>
      <w:tr w:rsidR="00554D08" w:rsidRPr="005D7A85" w14:paraId="2BD0372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2D22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</w:t>
            </w:r>
          </w:p>
        </w:tc>
        <w:tc>
          <w:tcPr>
            <w:tcW w:w="2066" w:type="dxa"/>
            <w:vAlign w:val="center"/>
          </w:tcPr>
          <w:p w14:paraId="15A0FC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6" w:type="dxa"/>
            <w:vAlign w:val="center"/>
          </w:tcPr>
          <w:p w14:paraId="5BF6C7F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5" w:type="dxa"/>
            <w:vAlign w:val="center"/>
          </w:tcPr>
          <w:p w14:paraId="256196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</w:tr>
      <w:tr w:rsidR="00554D08" w:rsidRPr="005D7A85" w14:paraId="0100710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DE0C6E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 tolerance</w:t>
            </w:r>
          </w:p>
        </w:tc>
        <w:tc>
          <w:tcPr>
            <w:tcW w:w="2066" w:type="dxa"/>
            <w:vAlign w:val="center"/>
          </w:tcPr>
          <w:p w14:paraId="633C8A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6" w:type="dxa"/>
            <w:vAlign w:val="center"/>
          </w:tcPr>
          <w:p w14:paraId="249FFB9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5" w:type="dxa"/>
            <w:vAlign w:val="center"/>
          </w:tcPr>
          <w:p w14:paraId="288492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</w:tr>
      <w:tr w:rsidR="00554D08" w:rsidRPr="005D7A85" w14:paraId="746B696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8FC057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Nonlinear solver tolerance</w:t>
            </w:r>
          </w:p>
        </w:tc>
        <w:tc>
          <w:tcPr>
            <w:tcW w:w="2066" w:type="dxa"/>
            <w:vAlign w:val="center"/>
          </w:tcPr>
          <w:p w14:paraId="476B42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6" w:type="dxa"/>
            <w:vAlign w:val="center"/>
          </w:tcPr>
          <w:p w14:paraId="78F1BF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5" w:type="dxa"/>
            <w:vAlign w:val="center"/>
          </w:tcPr>
          <w:p w14:paraId="6D4B14D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</w:tr>
      <w:tr w:rsidR="00554D08" w:rsidRPr="005D7A85" w14:paraId="661D595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7B8550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Wall-clock time (per simulation)</w:t>
            </w:r>
          </w:p>
        </w:tc>
        <w:tc>
          <w:tcPr>
            <w:tcW w:w="2066" w:type="dxa"/>
            <w:vAlign w:val="center"/>
          </w:tcPr>
          <w:p w14:paraId="55A31D6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 h</w:t>
            </w:r>
          </w:p>
        </w:tc>
        <w:tc>
          <w:tcPr>
            <w:tcW w:w="2066" w:type="dxa"/>
            <w:vAlign w:val="center"/>
          </w:tcPr>
          <w:p w14:paraId="6DABB7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68.9 h</w:t>
            </w:r>
          </w:p>
        </w:tc>
        <w:tc>
          <w:tcPr>
            <w:tcW w:w="2065" w:type="dxa"/>
            <w:vAlign w:val="center"/>
          </w:tcPr>
          <w:p w14:paraId="6FB74D4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69.3 h</w:t>
            </w:r>
          </w:p>
        </w:tc>
      </w:tr>
      <w:tr w:rsidR="00554D08" w:rsidRPr="005D7A85" w14:paraId="6054733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EFA2F4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Software &amp; Discretization</w:t>
            </w:r>
          </w:p>
        </w:tc>
        <w:tc>
          <w:tcPr>
            <w:tcW w:w="2066" w:type="dxa"/>
            <w:vAlign w:val="center"/>
          </w:tcPr>
          <w:p w14:paraId="2EF3D51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5B428C3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30A61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01E9A8B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5D45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Finite element framework</w:t>
            </w:r>
          </w:p>
        </w:tc>
        <w:tc>
          <w:tcPr>
            <w:tcW w:w="2066" w:type="dxa"/>
            <w:vAlign w:val="center"/>
          </w:tcPr>
          <w:p w14:paraId="0040A82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  <w:tc>
          <w:tcPr>
            <w:tcW w:w="2066" w:type="dxa"/>
            <w:vAlign w:val="center"/>
          </w:tcPr>
          <w:p w14:paraId="4B8005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  <w:tc>
          <w:tcPr>
            <w:tcW w:w="2065" w:type="dxa"/>
            <w:vAlign w:val="center"/>
          </w:tcPr>
          <w:p w14:paraId="095E4E2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</w:tr>
      <w:tr w:rsidR="00554D08" w:rsidRPr="005D7A85" w14:paraId="04E3D78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BFAD0F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integration scheme</w:t>
            </w:r>
          </w:p>
        </w:tc>
        <w:tc>
          <w:tcPr>
            <w:tcW w:w="2066" w:type="dxa"/>
            <w:vAlign w:val="center"/>
          </w:tcPr>
          <w:p w14:paraId="60308FE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6" w:type="dxa"/>
            <w:vAlign w:val="center"/>
          </w:tcPr>
          <w:p w14:paraId="420E0DA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5" w:type="dxa"/>
            <w:vAlign w:val="center"/>
          </w:tcPr>
          <w:p w14:paraId="302E8CF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</w:tr>
      <w:tr w:rsidR="00554D08" w:rsidRPr="005D7A85" w14:paraId="4B1A4C25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3CEFA3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Boundary Conditions</w:t>
            </w:r>
          </w:p>
        </w:tc>
        <w:tc>
          <w:tcPr>
            <w:tcW w:w="2066" w:type="dxa"/>
            <w:vAlign w:val="center"/>
          </w:tcPr>
          <w:p w14:paraId="266179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0476713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EE1E4F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5DDBD2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E814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Container wall boundary condition</w:t>
            </w:r>
          </w:p>
        </w:tc>
        <w:tc>
          <w:tcPr>
            <w:tcW w:w="2066" w:type="dxa"/>
            <w:vAlign w:val="center"/>
          </w:tcPr>
          <w:p w14:paraId="447716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6" w:type="dxa"/>
            <w:vAlign w:val="center"/>
          </w:tcPr>
          <w:p w14:paraId="27B815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5" w:type="dxa"/>
            <w:vAlign w:val="center"/>
          </w:tcPr>
          <w:p w14:paraId="5C27972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</w:tr>
      <w:tr w:rsidR="00554D08" w:rsidRPr="005D7A85" w14:paraId="413AB92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6AE7E2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Top surface boundary condition</w:t>
            </w:r>
          </w:p>
        </w:tc>
        <w:tc>
          <w:tcPr>
            <w:tcW w:w="2066" w:type="dxa"/>
            <w:vAlign w:val="center"/>
          </w:tcPr>
          <w:p w14:paraId="7F2A50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6" w:type="dxa"/>
            <w:vAlign w:val="center"/>
          </w:tcPr>
          <w:p w14:paraId="15687A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5" w:type="dxa"/>
            <w:vAlign w:val="center"/>
          </w:tcPr>
          <w:p w14:paraId="642381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</w:tr>
      <w:tr w:rsidR="00554D08" w:rsidRPr="005D7A85" w14:paraId="4BB70FE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4DD14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Dissolved oxygen concentration</w:t>
            </w:r>
          </w:p>
        </w:tc>
        <w:tc>
          <w:tcPr>
            <w:tcW w:w="2066" w:type="dxa"/>
            <w:vAlign w:val="center"/>
          </w:tcPr>
          <w:p w14:paraId="307234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6" w:type="dxa"/>
            <w:vAlign w:val="center"/>
          </w:tcPr>
          <w:p w14:paraId="284CBE3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5" w:type="dxa"/>
            <w:vAlign w:val="center"/>
          </w:tcPr>
          <w:p w14:paraId="232B35A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</w:tr>
    </w:tbl>
    <w:p w14:paraId="48EAEE62" w14:textId="77777777" w:rsidR="00554D08" w:rsidRDefault="00554D08" w:rsidP="00554D08">
      <w:pPr>
        <w:pStyle w:val="Heading1"/>
        <w:spacing w:before="360" w:after="0"/>
      </w:pPr>
      <w:r>
        <w:t>S4. Sensitivity analysis</w:t>
      </w:r>
    </w:p>
    <w:p w14:paraId="77C80608" w14:textId="77777777" w:rsidR="005639C1" w:rsidRDefault="007163D0">
      <w:pPr>
        <w:pStyle w:val="BodyText"/>
        <w:spacing w:after="120"/>
        <w:ind w:firstLine="0"/>
      </w:pPr>
      <w:r>
        <w:t>Table S5 lists the parameters varied in the Morris analysis [14], performed with SALib [15], and Table S6 gives the design settings.</w:t>
      </w:r>
    </w:p>
    <w:p w14:paraId="4F9C5857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lastRenderedPageBreak/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7E2F54">
        <w:rPr>
          <w:sz w:val="20"/>
          <w:szCs w:val="20"/>
        </w:rPr>
        <w:t xml:space="preserve"> </w:t>
      </w:r>
      <w:r w:rsidRPr="0058173B">
        <w:rPr>
          <w:sz w:val="20"/>
          <w:szCs w:val="20"/>
        </w:rPr>
        <w:t>Parameters included in the Morris sensitivity analysis.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918"/>
        <w:gridCol w:w="1362"/>
        <w:gridCol w:w="2251"/>
        <w:gridCol w:w="1495"/>
      </w:tblGrid>
      <w:tr w:rsidR="00554D08" w:rsidRPr="003C38E8" w14:paraId="7BFF869C" w14:textId="77777777" w:rsidTr="00433030">
        <w:trPr>
          <w:cantSplit/>
          <w:tblHeader/>
          <w:jc w:val="center"/>
        </w:trPr>
        <w:tc>
          <w:tcPr>
            <w:tcW w:w="3918" w:type="dxa"/>
            <w:tcBorders>
              <w:bottom w:val="single" w:sz="6" w:space="0" w:color="000000"/>
            </w:tcBorders>
            <w:vAlign w:val="center"/>
          </w:tcPr>
          <w:p w14:paraId="3BF5F020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1362" w:type="dxa"/>
            <w:tcBorders>
              <w:bottom w:val="single" w:sz="6" w:space="0" w:color="000000"/>
            </w:tcBorders>
            <w:vAlign w:val="center"/>
          </w:tcPr>
          <w:p w14:paraId="6509D26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Symbol</w:t>
            </w:r>
          </w:p>
        </w:tc>
        <w:tc>
          <w:tcPr>
            <w:tcW w:w="2251" w:type="dxa"/>
            <w:tcBorders>
              <w:bottom w:val="single" w:sz="6" w:space="0" w:color="000000"/>
            </w:tcBorders>
            <w:vAlign w:val="center"/>
          </w:tcPr>
          <w:p w14:paraId="44D92D3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Range</w:t>
            </w:r>
          </w:p>
        </w:tc>
        <w:tc>
          <w:tcPr>
            <w:tcW w:w="1495" w:type="dxa"/>
            <w:tcBorders>
              <w:bottom w:val="single" w:sz="6" w:space="0" w:color="000000"/>
            </w:tcBorders>
            <w:vAlign w:val="center"/>
          </w:tcPr>
          <w:p w14:paraId="5AA80CCA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Unit</w:t>
            </w:r>
          </w:p>
        </w:tc>
      </w:tr>
      <w:tr w:rsidR="00554D08" w:rsidRPr="003C38E8" w14:paraId="046D3EF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14DBF7B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formation rate constant</w:t>
            </w:r>
          </w:p>
        </w:tc>
        <w:tc>
          <w:tcPr>
            <w:tcW w:w="1362" w:type="dxa"/>
            <w:vAlign w:val="center"/>
          </w:tcPr>
          <w:p w14:paraId="55BB4128" w14:textId="77777777" w:rsidR="00554D08" w:rsidRPr="006B6A1E" w:rsidRDefault="009E3506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0BBF8A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50–200</w:t>
            </w:r>
          </w:p>
        </w:tc>
        <w:tc>
          <w:tcPr>
            <w:tcW w:w="1495" w:type="dxa"/>
            <w:vAlign w:val="center"/>
          </w:tcPr>
          <w:p w14:paraId="4E288B1A" w14:textId="77777777" w:rsidR="00554D08" w:rsidRPr="006B6A1E" w:rsidRDefault="009E3506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EC20EE" w14:paraId="76FF688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6E152706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dissolution rate constant</w:t>
            </w:r>
          </w:p>
        </w:tc>
        <w:tc>
          <w:tcPr>
            <w:tcW w:w="1362" w:type="dxa"/>
            <w:vAlign w:val="center"/>
          </w:tcPr>
          <w:p w14:paraId="3C871235" w14:textId="77777777" w:rsidR="00554D08" w:rsidRPr="006B6A1E" w:rsidRDefault="009E3506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4D24D01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1–50</w:t>
            </w:r>
          </w:p>
        </w:tc>
        <w:tc>
          <w:tcPr>
            <w:tcW w:w="1495" w:type="dxa"/>
            <w:vAlign w:val="center"/>
          </w:tcPr>
          <w:p w14:paraId="32E0D95C" w14:textId="2D08846F" w:rsidR="00554D08" w:rsidRPr="00EC20EE" w:rsidRDefault="00EC20EE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ascii="Cambria Math" w:hAnsi="Cambria Math"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6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 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 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0DC5C6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3F59C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reduction rate constant</w:t>
            </w:r>
          </w:p>
        </w:tc>
        <w:tc>
          <w:tcPr>
            <w:tcW w:w="1362" w:type="dxa"/>
            <w:vAlign w:val="center"/>
          </w:tcPr>
          <w:p w14:paraId="736D9370" w14:textId="77777777" w:rsidR="00554D08" w:rsidRPr="006B6A1E" w:rsidRDefault="009E3506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ORR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DBE2254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0.1–5.0</w:t>
            </w:r>
          </w:p>
        </w:tc>
        <w:tc>
          <w:tcPr>
            <w:tcW w:w="1495" w:type="dxa"/>
            <w:vAlign w:val="center"/>
          </w:tcPr>
          <w:p w14:paraId="1237C710" w14:textId="77777777" w:rsidR="00554D08" w:rsidRPr="006B6A1E" w:rsidRDefault="009E3506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49FA27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20D26A2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diffusivity</w:t>
            </w:r>
          </w:p>
        </w:tc>
        <w:tc>
          <w:tcPr>
            <w:tcW w:w="1362" w:type="dxa"/>
            <w:vAlign w:val="center"/>
          </w:tcPr>
          <w:p w14:paraId="433E7E75" w14:textId="77777777" w:rsidR="00554D08" w:rsidRPr="006B6A1E" w:rsidRDefault="009E3506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F862741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5–20</w:t>
            </w:r>
          </w:p>
        </w:tc>
        <w:tc>
          <w:tcPr>
            <w:tcW w:w="1495" w:type="dxa"/>
            <w:vAlign w:val="center"/>
          </w:tcPr>
          <w:p w14:paraId="689CDB8D" w14:textId="77777777" w:rsidR="00554D08" w:rsidRPr="006B6A1E" w:rsidRDefault="009E3506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478BB951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B296F5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dissolved oxygen concentration</w:t>
            </w:r>
          </w:p>
        </w:tc>
        <w:tc>
          <w:tcPr>
            <w:tcW w:w="1362" w:type="dxa"/>
            <w:vAlign w:val="center"/>
          </w:tcPr>
          <w:p w14:paraId="5FA09BCA" w14:textId="77777777" w:rsidR="00554D08" w:rsidRPr="006B6A1E" w:rsidRDefault="009E3506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,0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F859004" w14:textId="77777777" w:rsidR="00554D08" w:rsidRPr="00A26FEC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-9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to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-7</m:t>
                    </m:r>
                  </m:sup>
                </m:sSup>
              </m:oMath>
            </m:oMathPara>
          </w:p>
        </w:tc>
        <w:tc>
          <w:tcPr>
            <w:tcW w:w="1495" w:type="dxa"/>
            <w:vAlign w:val="center"/>
          </w:tcPr>
          <w:p w14:paraId="31F2B80E" w14:textId="77777777" w:rsidR="00554D08" w:rsidRPr="006B6A1E" w:rsidRDefault="009E3506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-3</m:t>
                    </m:r>
                  </m:sup>
                </m:sSup>
              </m:oMath>
            </m:oMathPara>
          </w:p>
        </w:tc>
      </w:tr>
      <w:tr w:rsidR="00554D08" w:rsidRPr="003C38E8" w14:paraId="6703736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651362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Zn²⁺ diffusivity</w:t>
            </w:r>
          </w:p>
        </w:tc>
        <w:tc>
          <w:tcPr>
            <w:tcW w:w="1362" w:type="dxa"/>
            <w:vAlign w:val="center"/>
          </w:tcPr>
          <w:p w14:paraId="0497A5A7" w14:textId="77777777" w:rsidR="00554D08" w:rsidRPr="006B6A1E" w:rsidRDefault="009E3506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Zn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8BABA94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1.5–5.0</w:t>
            </w:r>
          </w:p>
        </w:tc>
        <w:tc>
          <w:tcPr>
            <w:tcW w:w="1495" w:type="dxa"/>
            <w:vAlign w:val="center"/>
          </w:tcPr>
          <w:p w14:paraId="3E94A179" w14:textId="77777777" w:rsidR="00554D08" w:rsidRPr="006B6A1E" w:rsidRDefault="009E3506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522DC899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0A6F051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Cl⁻ diffusivity</w:t>
            </w:r>
          </w:p>
        </w:tc>
        <w:tc>
          <w:tcPr>
            <w:tcW w:w="1362" w:type="dxa"/>
            <w:vAlign w:val="center"/>
          </w:tcPr>
          <w:p w14:paraId="602338EB" w14:textId="77777777" w:rsidR="00554D08" w:rsidRPr="006B6A1E" w:rsidRDefault="009E3506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24B68F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5–15</w:t>
            </w:r>
          </w:p>
        </w:tc>
        <w:tc>
          <w:tcPr>
            <w:tcW w:w="1495" w:type="dxa"/>
            <w:vAlign w:val="center"/>
          </w:tcPr>
          <w:p w14:paraId="62076EAD" w14:textId="77777777" w:rsidR="00554D08" w:rsidRPr="006B6A1E" w:rsidRDefault="009E3506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F687237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4175890C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OH⁻ diffusivity</w:t>
            </w:r>
          </w:p>
        </w:tc>
        <w:tc>
          <w:tcPr>
            <w:tcW w:w="1362" w:type="dxa"/>
            <w:vAlign w:val="center"/>
          </w:tcPr>
          <w:p w14:paraId="551767AD" w14:textId="77777777" w:rsidR="00554D08" w:rsidRPr="006B6A1E" w:rsidRDefault="009E3506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OH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7DF13B46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15–35</w:t>
            </w:r>
          </w:p>
        </w:tc>
        <w:tc>
          <w:tcPr>
            <w:tcW w:w="1495" w:type="dxa"/>
            <w:vAlign w:val="center"/>
          </w:tcPr>
          <w:p w14:paraId="2A7BEE0F" w14:textId="77777777" w:rsidR="00554D08" w:rsidRPr="006B6A1E" w:rsidRDefault="009E3506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</w:tbl>
    <w:p w14:paraId="14F28DBC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3A1412">
        <w:rPr>
          <w:sz w:val="20"/>
          <w:szCs w:val="20"/>
        </w:rPr>
        <w:t>Morris design settings.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4509"/>
        <w:gridCol w:w="4517"/>
      </w:tblGrid>
      <w:tr w:rsidR="00554D08" w:rsidRPr="009C2673" w14:paraId="755E78B8" w14:textId="77777777" w:rsidTr="00433030">
        <w:trPr>
          <w:cantSplit/>
          <w:tblHeader/>
          <w:jc w:val="center"/>
        </w:trPr>
        <w:tc>
          <w:tcPr>
            <w:tcW w:w="4509" w:type="dxa"/>
            <w:tcBorders>
              <w:bottom w:val="single" w:sz="6" w:space="0" w:color="000000"/>
            </w:tcBorders>
            <w:vAlign w:val="center"/>
          </w:tcPr>
          <w:p w14:paraId="3834328C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4517" w:type="dxa"/>
            <w:tcBorders>
              <w:bottom w:val="single" w:sz="6" w:space="0" w:color="000000"/>
            </w:tcBorders>
            <w:vAlign w:val="center"/>
          </w:tcPr>
          <w:p w14:paraId="4584091D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554D08" w:rsidRPr="009C2673" w14:paraId="0DC6342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Sensitivity method</w:t>
            </w:r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Morris elementary effects</w:t>
            </w:r>
          </w:p>
        </w:tc>
      </w:tr>
      <w:tr w:rsidR="00554D08" w:rsidRPr="009C2673" w14:paraId="6BED072E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07CA88D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Software</w:t>
            </w:r>
          </w:p>
        </w:tc>
        <w:tc>
          <w:tcPr>
            <w:tcW w:w="4517" w:type="dxa"/>
            <w:vAlign w:val="center"/>
          </w:tcPr>
          <w:p w14:paraId="7FF16CEF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SALib</w:t>
            </w:r>
          </w:p>
        </w:tc>
      </w:tr>
      <w:tr w:rsidR="00554D08" w:rsidRPr="009C2673" w14:paraId="21C9CEC2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7F39616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parameters</w:t>
            </w:r>
          </w:p>
        </w:tc>
        <w:tc>
          <w:tcPr>
            <w:tcW w:w="4517" w:type="dxa"/>
            <w:vAlign w:val="center"/>
          </w:tcPr>
          <w:p w14:paraId="57598ED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554D08" w:rsidRPr="009C2673" w14:paraId="7B32DC5B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560DBD9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levels (p)</w:t>
            </w:r>
          </w:p>
        </w:tc>
        <w:tc>
          <w:tcPr>
            <w:tcW w:w="4517" w:type="dxa"/>
            <w:vAlign w:val="center"/>
          </w:tcPr>
          <w:p w14:paraId="682F573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</w:tr>
      <w:tr w:rsidR="00554D08" w:rsidRPr="009C2673" w14:paraId="75B2BEC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93C926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trajectories (r)</w:t>
            </w:r>
          </w:p>
        </w:tc>
        <w:tc>
          <w:tcPr>
            <w:tcW w:w="4517" w:type="dxa"/>
            <w:vAlign w:val="center"/>
          </w:tcPr>
          <w:p w14:paraId="53C989A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20</w:t>
            </w:r>
          </w:p>
        </w:tc>
      </w:tr>
      <w:tr w:rsidR="00554D08" w:rsidRPr="009C2673" w14:paraId="0D967B58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54CF25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model evaluations</w:t>
            </w:r>
          </w:p>
        </w:tc>
        <w:tc>
          <w:tcPr>
            <w:tcW w:w="4517" w:type="dxa"/>
            <w:vAlign w:val="center"/>
          </w:tcPr>
          <w:p w14:paraId="53F8D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180</w:t>
            </w:r>
          </w:p>
        </w:tc>
      </w:tr>
      <w:tr w:rsidR="00554D08" w:rsidRPr="009C2673" w14:paraId="723A9D5C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106A912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Response metric</w:t>
            </w:r>
          </w:p>
        </w:tc>
        <w:tc>
          <w:tcPr>
            <w:tcW w:w="4517" w:type="dxa"/>
            <w:vAlign w:val="center"/>
          </w:tcPr>
          <w:p w14:paraId="57910A07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Mass loss after 168 h</w:t>
            </w:r>
          </w:p>
        </w:tc>
      </w:tr>
    </w:tbl>
    <w:p w14:paraId="4DB3C510" w14:textId="70F4F986" w:rsidR="005639C1" w:rsidRDefault="007163D0">
      <w:pPr>
        <w:pStyle w:val="BodyText"/>
        <w:spacing w:before="360" w:after="120"/>
        <w:ind w:firstLine="0"/>
      </w:pPr>
      <w:r>
        <w:t>Figure S4 shows how the sensitivity indices evolve during the simulated degradation.</w:t>
      </w:r>
    </w:p>
    <w:p w14:paraId="049BCD5C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9512761" wp14:editId="3960B005">
            <wp:extent cx="3746380" cy="2700000"/>
            <wp:effectExtent l="0" t="0" r="6985" b="5715"/>
            <wp:docPr id="91422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380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1EE07" w14:textId="011580D2" w:rsidR="00554D08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D80D58"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D3074">
        <w:rPr>
          <w:sz w:val="20"/>
          <w:szCs w:val="20"/>
        </w:rPr>
        <w:t>Time-dependent Morris sensitivity indices (μ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>) for the model parameters affecting predicted Zn mass loss during 168 h of degradation. The variation of 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over time quantifies how each parameter's influence on the degradation response changes </w:t>
      </w:r>
      <w:r w:rsidRPr="009D3074">
        <w:rPr>
          <w:sz w:val="20"/>
          <w:szCs w:val="20"/>
        </w:rPr>
        <w:t>throughout the simulation period</w:t>
      </w:r>
      <w:r w:rsidRPr="00897B3B">
        <w:rPr>
          <w:sz w:val="20"/>
          <w:szCs w:val="20"/>
        </w:rPr>
        <w:t>.</w:t>
      </w:r>
    </w:p>
    <w:p w14:paraId="78B577CD" w14:textId="77777777" w:rsidR="005D7A85" w:rsidRDefault="005F4719" w:rsidP="00BE6B79">
      <w:pPr>
        <w:pStyle w:val="Heading1"/>
      </w:pPr>
      <w:r>
        <w:lastRenderedPageBreak/>
        <w:t>S5. Bayesian calibration and validation</w:t>
      </w:r>
    </w:p>
    <w:p w14:paraId="64C1FDF0" w14:textId="3A1273C3" w:rsidR="00DA0507" w:rsidRDefault="00DA0507" w:rsidP="00DA0507">
      <w:pPr>
        <w:pStyle w:val="BodyText"/>
        <w:spacing w:after="120"/>
        <w:ind w:firstLine="0"/>
      </w:pPr>
      <w:r w:rsidRPr="00DA0507">
        <w:t>Optimal parameters were identified by minimizing the RMSE between predicted and literature-reported 14-day mass-loss measurements. A Gaussian process (GP) surrogate model [16] was initialized using a 12-point Latin hypercube sampling (LHS) design [18] spanning the admissible parameter space and iteratively refined using the expected improvement (EI) acquisition function [17]. The literature data are from Liu et al. [19].</w:t>
      </w:r>
    </w:p>
    <w:p w14:paraId="0137D3CE" w14:textId="77777777" w:rsidR="005639C1" w:rsidRDefault="007163D0">
      <w:pPr>
        <w:pStyle w:val="BodyText"/>
        <w:keepNext/>
        <w:spacing w:after="120"/>
        <w:ind w:firstLine="0"/>
      </w:pPr>
      <w:r>
        <w:t>The RMSE was calculated as:</w:t>
      </w:r>
    </w:p>
    <w:p w14:paraId="55C543BA" w14:textId="77777777" w:rsidR="00377A22" w:rsidRPr="00542C5D" w:rsidRDefault="009E3506" w:rsidP="00377A22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Sim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exp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S5</m:t>
                  </m:r>
                </m:e>
              </m:d>
            </m:e>
          </m:eqArr>
        </m:oMath>
      </m:oMathPara>
    </w:p>
    <w:p w14:paraId="7BEA26F3" w14:textId="3D509071" w:rsidR="005639C1" w:rsidRDefault="007163D0">
      <w:pPr>
        <w:pStyle w:val="BodyText"/>
        <w:spacing w:after="120"/>
        <w:ind w:firstLine="0"/>
      </w:pPr>
      <w:r>
        <w:t xml:space="preserve">where n is the number of literature data points, and </w:t>
      </w:r>
      <w:proofErr w:type="spellStart"/>
      <w:r>
        <w:t>MassLoss_sim</w:t>
      </w:r>
      <w:proofErr w:type="spellEnd"/>
      <w:r>
        <w:t>(</w:t>
      </w:r>
      <w:proofErr w:type="spellStart"/>
      <w:r>
        <w:t>t_i</w:t>
      </w:r>
      <w:proofErr w:type="spellEnd"/>
      <w:r>
        <w:t xml:space="preserve">) and </w:t>
      </w:r>
      <w:proofErr w:type="spellStart"/>
      <w:r>
        <w:t>MassLoss_exp</w:t>
      </w:r>
      <w:proofErr w:type="spellEnd"/>
      <w:r>
        <w:t>(</w:t>
      </w:r>
      <w:proofErr w:type="spellStart"/>
      <w:r>
        <w:t>t_i</w:t>
      </w:r>
      <w:proofErr w:type="spellEnd"/>
      <w:r>
        <w:t xml:space="preserve">) are the simulated and literature mass loss at time </w:t>
      </w:r>
      <w:proofErr w:type="spellStart"/>
      <w:r>
        <w:t>t_i</w:t>
      </w:r>
      <w:proofErr w:type="spellEnd"/>
      <w:r>
        <w:t>, respectively.</w:t>
      </w:r>
      <w:r w:rsidR="00AB5E39">
        <w:t xml:space="preserve"> </w:t>
      </w:r>
      <w:r>
        <w:t>Table S7 lists the literature mass-loss data used for calibration.</w:t>
      </w:r>
    </w:p>
    <w:p w14:paraId="60E5328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7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>Literature mass-loss data used for Bayesian calibration</w:t>
      </w:r>
      <w:r>
        <w:rPr>
          <w:sz w:val="20"/>
          <w:szCs w:val="20"/>
        </w:rPr>
        <w:t xml:space="preserve">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026"/>
        <w:gridCol w:w="2023"/>
        <w:gridCol w:w="4977"/>
      </w:tblGrid>
      <w:tr w:rsidR="00554D08" w:rsidRPr="00461D9B" w14:paraId="3E6E71F7" w14:textId="77777777" w:rsidTr="00927926">
        <w:trPr>
          <w:cantSplit/>
          <w:tblHeader/>
          <w:jc w:val="center"/>
        </w:trPr>
        <w:tc>
          <w:tcPr>
            <w:tcW w:w="2026" w:type="dxa"/>
            <w:tcBorders>
              <w:bottom w:val="single" w:sz="6" w:space="0" w:color="000000"/>
            </w:tcBorders>
            <w:vAlign w:val="center"/>
          </w:tcPr>
          <w:p w14:paraId="53D18292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2023" w:type="dxa"/>
            <w:tcBorders>
              <w:bottom w:val="single" w:sz="6" w:space="0" w:color="000000"/>
            </w:tcBorders>
            <w:vAlign w:val="center"/>
          </w:tcPr>
          <w:p w14:paraId="278B071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4977" w:type="dxa"/>
            <w:tcBorders>
              <w:bottom w:val="single" w:sz="6" w:space="0" w:color="000000"/>
            </w:tcBorders>
            <w:vAlign w:val="center"/>
          </w:tcPr>
          <w:p w14:paraId="1B9BADF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Literature mass loss (%)</w:t>
            </w:r>
          </w:p>
        </w:tc>
      </w:tr>
      <w:tr w:rsidR="00554D08" w:rsidRPr="00461D9B" w14:paraId="48F327C0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2E16ED4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023" w:type="dxa"/>
            <w:vAlign w:val="center"/>
          </w:tcPr>
          <w:p w14:paraId="4099300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4977" w:type="dxa"/>
            <w:vAlign w:val="center"/>
          </w:tcPr>
          <w:p w14:paraId="4FD5679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0.0500</w:t>
            </w:r>
          </w:p>
        </w:tc>
      </w:tr>
      <w:tr w:rsidR="00554D08" w:rsidRPr="00461D9B" w14:paraId="6D68CA9D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3348D72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023" w:type="dxa"/>
            <w:vAlign w:val="center"/>
          </w:tcPr>
          <w:p w14:paraId="0C73BEC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4977" w:type="dxa"/>
            <w:vAlign w:val="center"/>
          </w:tcPr>
          <w:p w14:paraId="4F6B961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0.0900</w:t>
            </w:r>
          </w:p>
        </w:tc>
      </w:tr>
      <w:tr w:rsidR="00554D08" w:rsidRPr="00461D9B" w14:paraId="307D49C4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831CAF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2023" w:type="dxa"/>
            <w:vAlign w:val="center"/>
          </w:tcPr>
          <w:p w14:paraId="59444F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4977" w:type="dxa"/>
            <w:vAlign w:val="center"/>
          </w:tcPr>
          <w:p w14:paraId="2C9D7AD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0.1300</w:t>
            </w:r>
          </w:p>
        </w:tc>
      </w:tr>
      <w:tr w:rsidR="00554D08" w:rsidRPr="00461D9B" w14:paraId="36D9FDA2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5183B3A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2023" w:type="dxa"/>
            <w:vAlign w:val="center"/>
          </w:tcPr>
          <w:p w14:paraId="448EEFA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4977" w:type="dxa"/>
            <w:vAlign w:val="center"/>
          </w:tcPr>
          <w:p w14:paraId="3A8C63B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0.2000</w:t>
            </w:r>
          </w:p>
        </w:tc>
      </w:tr>
      <w:tr w:rsidR="00554D08" w:rsidRPr="00461D9B" w14:paraId="386144FF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3E3F26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2023" w:type="dxa"/>
            <w:vAlign w:val="center"/>
          </w:tcPr>
          <w:p w14:paraId="3AD6A5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4977" w:type="dxa"/>
            <w:vAlign w:val="center"/>
          </w:tcPr>
          <w:p w14:paraId="578C31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0.2700</w:t>
            </w:r>
          </w:p>
        </w:tc>
      </w:tr>
      <w:tr w:rsidR="00554D08" w:rsidRPr="00461D9B" w14:paraId="6C1784D6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06A0CB73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2023" w:type="dxa"/>
            <w:vAlign w:val="center"/>
          </w:tcPr>
          <w:p w14:paraId="61A9A1F7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4977" w:type="dxa"/>
            <w:vAlign w:val="center"/>
          </w:tcPr>
          <w:p w14:paraId="43B75A7F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0.3200</w:t>
            </w:r>
          </w:p>
        </w:tc>
      </w:tr>
    </w:tbl>
    <w:p w14:paraId="5D50099D" w14:textId="56C21E95" w:rsidR="005639C1" w:rsidRDefault="007163D0">
      <w:pPr>
        <w:pStyle w:val="BodyText"/>
        <w:spacing w:before="360" w:after="120"/>
        <w:ind w:firstLine="0"/>
      </w:pPr>
      <w:r>
        <w:t>Tables S8 and S9 and Figure S5 compare the calibrated model with the literature data.</w:t>
      </w:r>
    </w:p>
    <w:p w14:paraId="628DC03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8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 xml:space="preserve">Literature </w:t>
      </w:r>
      <w:r>
        <w:rPr>
          <w:sz w:val="20"/>
          <w:szCs w:val="20"/>
        </w:rPr>
        <w:t>Zn dissolution and pH data used for validation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303"/>
        <w:gridCol w:w="3208"/>
        <w:gridCol w:w="3208"/>
      </w:tblGrid>
      <w:tr w:rsidR="00554D08" w:rsidRPr="00461D9B" w14:paraId="39716E57" w14:textId="77777777" w:rsidTr="00927926">
        <w:trPr>
          <w:cantSplit/>
          <w:tblHeader/>
          <w:jc w:val="center"/>
        </w:trPr>
        <w:tc>
          <w:tcPr>
            <w:tcW w:w="1307" w:type="dxa"/>
            <w:tcBorders>
              <w:bottom w:val="single" w:sz="6" w:space="0" w:color="000000"/>
            </w:tcBorders>
            <w:vAlign w:val="center"/>
          </w:tcPr>
          <w:p w14:paraId="73152685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1303" w:type="dxa"/>
            <w:tcBorders>
              <w:bottom w:val="single" w:sz="6" w:space="0" w:color="000000"/>
            </w:tcBorders>
            <w:vAlign w:val="center"/>
          </w:tcPr>
          <w:p w14:paraId="0D73C34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2D16C06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Zn dissolution (mg/L)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5CE0DC5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pH</w:t>
            </w:r>
          </w:p>
        </w:tc>
      </w:tr>
      <w:tr w:rsidR="00554D08" w:rsidRPr="00461D9B" w14:paraId="0BDA02CD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FA2C1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303" w:type="dxa"/>
            <w:vAlign w:val="center"/>
          </w:tcPr>
          <w:p w14:paraId="31ED851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3208" w:type="dxa"/>
            <w:vAlign w:val="center"/>
          </w:tcPr>
          <w:p w14:paraId="0017520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10.5</w:t>
            </w:r>
          </w:p>
        </w:tc>
        <w:tc>
          <w:tcPr>
            <w:tcW w:w="3208" w:type="dxa"/>
            <w:vAlign w:val="center"/>
          </w:tcPr>
          <w:p w14:paraId="19B33A8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7.4</w:t>
            </w:r>
          </w:p>
        </w:tc>
      </w:tr>
      <w:tr w:rsidR="00554D08" w:rsidRPr="00461D9B" w14:paraId="0667B72A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5AA2FD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303" w:type="dxa"/>
            <w:vAlign w:val="center"/>
          </w:tcPr>
          <w:p w14:paraId="2CFAD3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3208" w:type="dxa"/>
            <w:vAlign w:val="center"/>
          </w:tcPr>
          <w:p w14:paraId="2D9DF3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26.5</w:t>
            </w:r>
          </w:p>
        </w:tc>
        <w:tc>
          <w:tcPr>
            <w:tcW w:w="3208" w:type="dxa"/>
            <w:vAlign w:val="center"/>
          </w:tcPr>
          <w:p w14:paraId="1F9A88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</w:t>
            </w:r>
          </w:p>
        </w:tc>
      </w:tr>
      <w:tr w:rsidR="00554D08" w:rsidRPr="00461D9B" w14:paraId="5EF49AF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53EA874B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303" w:type="dxa"/>
            <w:vAlign w:val="center"/>
          </w:tcPr>
          <w:p w14:paraId="67553B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3208" w:type="dxa"/>
            <w:vAlign w:val="center"/>
          </w:tcPr>
          <w:p w14:paraId="4BDACB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32</w:t>
            </w:r>
          </w:p>
        </w:tc>
        <w:tc>
          <w:tcPr>
            <w:tcW w:w="3208" w:type="dxa"/>
            <w:vAlign w:val="center"/>
          </w:tcPr>
          <w:p w14:paraId="23C530FA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7.57</w:t>
            </w:r>
          </w:p>
        </w:tc>
      </w:tr>
      <w:tr w:rsidR="00554D08" w:rsidRPr="00461D9B" w14:paraId="1E61D765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68EA061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1303" w:type="dxa"/>
            <w:vAlign w:val="center"/>
          </w:tcPr>
          <w:p w14:paraId="74F987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3208" w:type="dxa"/>
            <w:vAlign w:val="center"/>
          </w:tcPr>
          <w:p w14:paraId="23D270E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35</w:t>
            </w:r>
          </w:p>
        </w:tc>
        <w:tc>
          <w:tcPr>
            <w:tcW w:w="3208" w:type="dxa"/>
            <w:vAlign w:val="center"/>
          </w:tcPr>
          <w:p w14:paraId="5B426D2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7.58</w:t>
            </w:r>
          </w:p>
        </w:tc>
      </w:tr>
      <w:tr w:rsidR="00554D08" w:rsidRPr="00461D9B" w14:paraId="4A6F993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2A9104F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303" w:type="dxa"/>
            <w:vAlign w:val="center"/>
          </w:tcPr>
          <w:p w14:paraId="1877AE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3208" w:type="dxa"/>
            <w:vAlign w:val="center"/>
          </w:tcPr>
          <w:p w14:paraId="4260D9C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36</w:t>
            </w:r>
          </w:p>
        </w:tc>
        <w:tc>
          <w:tcPr>
            <w:tcW w:w="3208" w:type="dxa"/>
            <w:vAlign w:val="center"/>
          </w:tcPr>
          <w:p w14:paraId="188F3EF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  <w:tr w:rsidR="00554D08" w:rsidRPr="00461D9B" w14:paraId="50D97C41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3655CD1D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1303" w:type="dxa"/>
            <w:vAlign w:val="center"/>
          </w:tcPr>
          <w:p w14:paraId="14AAAE39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3208" w:type="dxa"/>
            <w:vAlign w:val="center"/>
          </w:tcPr>
          <w:p w14:paraId="72EA8EA1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39.5</w:t>
            </w:r>
          </w:p>
        </w:tc>
        <w:tc>
          <w:tcPr>
            <w:tcW w:w="3208" w:type="dxa"/>
            <w:vAlign w:val="center"/>
          </w:tcPr>
          <w:p w14:paraId="2B6EB318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</w:tbl>
    <w:p w14:paraId="4280AFF7" w14:textId="77777777" w:rsidR="00554D08" w:rsidRPr="00554D08" w:rsidRDefault="00907ED2" w:rsidP="00554D08">
      <w:pPr>
        <w:pStyle w:val="Captions"/>
        <w:keepNext/>
        <w:spacing w:before="360" w:after="80"/>
      </w:pPr>
      <w:r w:rsidRPr="00B30B0E">
        <w:rPr>
          <w:b/>
          <w:bCs/>
          <w:sz w:val="20"/>
          <w:szCs w:val="20"/>
        </w:rPr>
        <w:lastRenderedPageBreak/>
        <w:t xml:space="preserve">Table </w:t>
      </w:r>
      <w:r w:rsidR="00B5514D" w:rsidRPr="00B30B0E">
        <w:rPr>
          <w:b/>
          <w:bCs/>
          <w:sz w:val="20"/>
          <w:szCs w:val="20"/>
        </w:rPr>
        <w:t>S</w:t>
      </w:r>
      <w:r w:rsidR="00B5514D" w:rsidRPr="00B30B0E">
        <w:rPr>
          <w:b/>
          <w:bCs/>
          <w:sz w:val="20"/>
          <w:szCs w:val="20"/>
        </w:rPr>
        <w:fldChar w:fldCharType="begin"/>
      </w:r>
      <w:r w:rsidR="00B5514D" w:rsidRPr="00B30B0E">
        <w:rPr>
          <w:b/>
          <w:bCs/>
          <w:sz w:val="20"/>
          <w:szCs w:val="20"/>
        </w:rPr>
        <w:instrText xml:space="preserve"> SEQ Table \* ARABIC </w:instrText>
      </w:r>
      <w:r w:rsidR="00B5514D" w:rsidRPr="00B30B0E">
        <w:rPr>
          <w:b/>
          <w:bCs/>
          <w:sz w:val="20"/>
          <w:szCs w:val="20"/>
        </w:rPr>
        <w:fldChar w:fldCharType="separate"/>
      </w:r>
      <w:r w:rsidR="00ED14A2" w:rsidRPr="00B30B0E">
        <w:rPr>
          <w:b/>
          <w:bCs/>
          <w:noProof/>
          <w:sz w:val="20"/>
          <w:szCs w:val="20"/>
        </w:rPr>
        <w:t>9</w:t>
      </w:r>
      <w:r w:rsidR="00B5514D" w:rsidRPr="00B30B0E">
        <w:rPr>
          <w:b/>
          <w:bCs/>
          <w:noProof/>
          <w:sz w:val="20"/>
          <w:szCs w:val="20"/>
        </w:rPr>
        <w:fldChar w:fldCharType="end"/>
      </w:r>
      <w:r w:rsidRPr="00B30B0E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="00554D08" w:rsidRPr="00554D08">
        <w:rPr>
          <w:sz w:val="20"/>
          <w:szCs w:val="20"/>
        </w:rPr>
        <w:t>Final calibrated-model predictions of mass loss compared with the literature mass-loss data used for calibration (Liu et al.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00"/>
        <w:gridCol w:w="2744"/>
        <w:gridCol w:w="2821"/>
        <w:gridCol w:w="2261"/>
      </w:tblGrid>
      <w:tr w:rsidR="003A0691" w:rsidRPr="00540DBD" w14:paraId="2E0A1CEC" w14:textId="77777777" w:rsidTr="00554D08">
        <w:trPr>
          <w:cantSplit/>
          <w:tblHeader/>
          <w:jc w:val="center"/>
        </w:trPr>
        <w:tc>
          <w:tcPr>
            <w:tcW w:w="1200" w:type="dxa"/>
            <w:tcBorders>
              <w:bottom w:val="single" w:sz="6" w:space="0" w:color="000000"/>
            </w:tcBorders>
            <w:vAlign w:val="center"/>
          </w:tcPr>
          <w:p w14:paraId="5DEB753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2744" w:type="dxa"/>
            <w:tcBorders>
              <w:bottom w:val="single" w:sz="6" w:space="0" w:color="000000"/>
            </w:tcBorders>
            <w:vAlign w:val="center"/>
          </w:tcPr>
          <w:p w14:paraId="2CFC9AB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Predicted mass loss (%)</w:t>
            </w:r>
          </w:p>
        </w:tc>
        <w:tc>
          <w:tcPr>
            <w:tcW w:w="2821" w:type="dxa"/>
            <w:tcBorders>
              <w:bottom w:val="single" w:sz="6" w:space="0" w:color="000000"/>
            </w:tcBorders>
            <w:vAlign w:val="center"/>
          </w:tcPr>
          <w:p w14:paraId="71C75EB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Literature mass loss (%)</w:t>
            </w:r>
          </w:p>
        </w:tc>
        <w:tc>
          <w:tcPr>
            <w:tcW w:w="2261" w:type="dxa"/>
            <w:tcBorders>
              <w:bottom w:val="single" w:sz="6" w:space="0" w:color="000000"/>
            </w:tcBorders>
            <w:vAlign w:val="center"/>
          </w:tcPr>
          <w:p w14:paraId="0889EB0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Absolute error (%)</w:t>
            </w:r>
          </w:p>
        </w:tc>
      </w:tr>
      <w:tr w:rsidR="003A0691" w:rsidRPr="00540DBD" w14:paraId="5AB9074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5504581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744" w:type="dxa"/>
            <w:vAlign w:val="center"/>
          </w:tcPr>
          <w:p w14:paraId="22B503D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821" w:type="dxa"/>
            <w:vAlign w:val="center"/>
          </w:tcPr>
          <w:p w14:paraId="1561F90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261" w:type="dxa"/>
            <w:vAlign w:val="center"/>
          </w:tcPr>
          <w:p w14:paraId="6A9B167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</w:t>
            </w:r>
          </w:p>
        </w:tc>
      </w:tr>
      <w:tr w:rsidR="003A0691" w:rsidRPr="00540DBD" w14:paraId="0E9606B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7581B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744" w:type="dxa"/>
            <w:vAlign w:val="center"/>
          </w:tcPr>
          <w:p w14:paraId="5A2059F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  <w:tc>
          <w:tcPr>
            <w:tcW w:w="2821" w:type="dxa"/>
            <w:vAlign w:val="center"/>
          </w:tcPr>
          <w:p w14:paraId="26285C3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0.0500</w:t>
            </w:r>
          </w:p>
        </w:tc>
        <w:tc>
          <w:tcPr>
            <w:tcW w:w="2261" w:type="dxa"/>
            <w:vAlign w:val="center"/>
          </w:tcPr>
          <w:p w14:paraId="756714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3A0691" w:rsidRPr="00540DBD" w14:paraId="1A83CA0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2C8C794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2744" w:type="dxa"/>
            <w:vAlign w:val="center"/>
          </w:tcPr>
          <w:p w14:paraId="2414F6E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84</w:t>
            </w:r>
          </w:p>
        </w:tc>
        <w:tc>
          <w:tcPr>
            <w:tcW w:w="2821" w:type="dxa"/>
            <w:vAlign w:val="center"/>
          </w:tcPr>
          <w:p w14:paraId="5351B80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0.0900</w:t>
            </w:r>
          </w:p>
        </w:tc>
        <w:tc>
          <w:tcPr>
            <w:tcW w:w="2261" w:type="dxa"/>
            <w:vAlign w:val="center"/>
          </w:tcPr>
          <w:p w14:paraId="010E3E9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06</w:t>
            </w:r>
          </w:p>
        </w:tc>
      </w:tr>
      <w:tr w:rsidR="003A0691" w:rsidRPr="00540DBD" w14:paraId="02D9D42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4CE91CB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2744" w:type="dxa"/>
            <w:vAlign w:val="center"/>
          </w:tcPr>
          <w:p w14:paraId="26009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15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001ED73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0.1300</w:t>
            </w:r>
          </w:p>
        </w:tc>
        <w:tc>
          <w:tcPr>
            <w:tcW w:w="2261" w:type="dxa"/>
            <w:vAlign w:val="center"/>
          </w:tcPr>
          <w:p w14:paraId="3A3448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3A0691" w:rsidRPr="00540DBD" w14:paraId="0F49600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79AD228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744" w:type="dxa"/>
            <w:vAlign w:val="center"/>
          </w:tcPr>
          <w:p w14:paraId="0211812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7493F73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0.2000</w:t>
            </w:r>
          </w:p>
        </w:tc>
        <w:tc>
          <w:tcPr>
            <w:tcW w:w="2261" w:type="dxa"/>
            <w:vAlign w:val="center"/>
          </w:tcPr>
          <w:p w14:paraId="6B7F57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</w:p>
        </w:tc>
      </w:tr>
      <w:tr w:rsidR="003A0691" w:rsidRPr="00540DBD" w14:paraId="2CDC56E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CF634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2744" w:type="dxa"/>
            <w:vAlign w:val="center"/>
          </w:tcPr>
          <w:p w14:paraId="5C38B1F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214</w:t>
            </w:r>
          </w:p>
        </w:tc>
        <w:tc>
          <w:tcPr>
            <w:tcW w:w="2821" w:type="dxa"/>
            <w:vAlign w:val="center"/>
          </w:tcPr>
          <w:p w14:paraId="060F39C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0.2700</w:t>
            </w:r>
          </w:p>
        </w:tc>
        <w:tc>
          <w:tcPr>
            <w:tcW w:w="2261" w:type="dxa"/>
            <w:vAlign w:val="center"/>
          </w:tcPr>
          <w:p w14:paraId="1127545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56</w:t>
            </w:r>
          </w:p>
        </w:tc>
      </w:tr>
      <w:tr w:rsidR="003A0691" w:rsidRPr="00540DBD" w14:paraId="2299BA8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1BFF34C3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744" w:type="dxa"/>
            <w:vAlign w:val="center"/>
          </w:tcPr>
          <w:p w14:paraId="2897E9F1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821" w:type="dxa"/>
            <w:vAlign w:val="center"/>
          </w:tcPr>
          <w:p w14:paraId="66F698DE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0.3200</w:t>
            </w:r>
          </w:p>
        </w:tc>
        <w:tc>
          <w:tcPr>
            <w:tcW w:w="2261" w:type="dxa"/>
            <w:vAlign w:val="center"/>
          </w:tcPr>
          <w:p w14:paraId="1D536015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80</w:t>
            </w:r>
          </w:p>
        </w:tc>
      </w:tr>
    </w:tbl>
    <w:p w14:paraId="7E95B005" w14:textId="77777777" w:rsidR="00DF756F" w:rsidRDefault="00D80D58" w:rsidP="00DF756F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D4D8C5A" wp14:editId="330E3F0C">
            <wp:extent cx="5731510" cy="3407382"/>
            <wp:effectExtent l="0" t="0" r="254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7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EADFF" w14:textId="701C2AAB" w:rsidR="005F4719" w:rsidRDefault="00DF756F" w:rsidP="00DF756F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="009B05C1">
        <w:rPr>
          <w:sz w:val="20"/>
          <w:szCs w:val="20"/>
        </w:rPr>
        <w:t xml:space="preserve"> </w:t>
      </w:r>
      <w:r w:rsidR="003E77C2" w:rsidRPr="003E77C2">
        <w:rPr>
          <w:sz w:val="20"/>
          <w:szCs w:val="20"/>
        </w:rPr>
        <w:t>Bayesian calibration results: (a) simulated and literature mass loss, (b) normalized parameter trajectories, and (c–e) RMSE response surfaces for pairwise combinations of</w:t>
      </w:r>
      <w:r w:rsidR="003E77C2">
        <w:rPr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="003E77C2" w:rsidRPr="00E14F33">
        <w:rPr>
          <w:rFonts w:cs="Times New Roman"/>
          <w:sz w:val="20"/>
          <w:szCs w:val="20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="003E77C2" w:rsidRPr="00E14F33">
        <w:rPr>
          <w:rFonts w:cs="Times New Roman"/>
          <w:sz w:val="20"/>
          <w:szCs w:val="20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="003E77C2" w:rsidRPr="00DF5F5F">
        <w:rPr>
          <w:sz w:val="20"/>
          <w:szCs w:val="20"/>
        </w:rPr>
        <w:t>.</w:t>
      </w:r>
    </w:p>
    <w:p w14:paraId="701E46C0" w14:textId="77777777" w:rsidR="009A33EE" w:rsidRDefault="009A33EE" w:rsidP="009A33EE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10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>Bayesian optimization settings used for parameter calibration.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619"/>
        <w:gridCol w:w="5407"/>
      </w:tblGrid>
      <w:tr w:rsidR="00B232B9" w:rsidRPr="00B232B9" w14:paraId="13586709" w14:textId="77777777" w:rsidTr="00D50C40">
        <w:trPr>
          <w:cantSplit/>
          <w:tblHeader/>
          <w:jc w:val="center"/>
        </w:trPr>
        <w:tc>
          <w:tcPr>
            <w:tcW w:w="3619" w:type="dxa"/>
            <w:tcBorders>
              <w:bottom w:val="single" w:sz="6" w:space="0" w:color="000000"/>
            </w:tcBorders>
            <w:vAlign w:val="center"/>
          </w:tcPr>
          <w:p w14:paraId="548D1E39" w14:textId="77777777" w:rsidR="00B232B9" w:rsidRPr="00151F4E" w:rsidRDefault="00B232B9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5407" w:type="dxa"/>
            <w:tcBorders>
              <w:bottom w:val="single" w:sz="6" w:space="0" w:color="000000"/>
            </w:tcBorders>
            <w:vAlign w:val="center"/>
          </w:tcPr>
          <w:p w14:paraId="44CD4EE4" w14:textId="77777777" w:rsidR="00B232B9" w:rsidRPr="00151F4E" w:rsidRDefault="00B232B9" w:rsidP="00151F4E">
            <w:pPr>
              <w:pStyle w:val="Captions"/>
              <w:spacing w:before="20" w:after="20"/>
              <w:jc w:val="center"/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9A33EE" w:rsidRPr="00B232B9" w14:paraId="1CDD4A66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1756E74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Optimization method</w:t>
            </w:r>
          </w:p>
        </w:tc>
        <w:tc>
          <w:tcPr>
            <w:tcW w:w="5407" w:type="dxa"/>
            <w:vAlign w:val="center"/>
          </w:tcPr>
          <w:p w14:paraId="511B3C18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Bayesian optimization</w:t>
            </w:r>
          </w:p>
        </w:tc>
      </w:tr>
      <w:tr w:rsidR="009A33EE" w:rsidRPr="00B232B9" w14:paraId="0C55AC8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07BF12F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Surrogate model</w:t>
            </w:r>
          </w:p>
        </w:tc>
        <w:tc>
          <w:tcPr>
            <w:tcW w:w="5407" w:type="dxa"/>
            <w:vAlign w:val="center"/>
          </w:tcPr>
          <w:p w14:paraId="5DE098E0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Gaussian Process</w:t>
            </w:r>
          </w:p>
        </w:tc>
      </w:tr>
      <w:tr w:rsidR="009A33EE" w:rsidRPr="00B232B9" w14:paraId="2EA83CD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DC7B69E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Objective function</w:t>
            </w:r>
          </w:p>
        </w:tc>
        <w:tc>
          <w:tcPr>
            <w:tcW w:w="5407" w:type="dxa"/>
            <w:vAlign w:val="center"/>
          </w:tcPr>
          <w:p w14:paraId="01B59881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RMSE minimization</w:t>
            </w:r>
          </w:p>
        </w:tc>
      </w:tr>
      <w:tr w:rsidR="0063194E" w:rsidRPr="00B232B9" w14:paraId="35DF341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073201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Parameters calibrated</w:t>
            </w:r>
          </w:p>
        </w:tc>
        <w:tc>
          <w:tcPr>
            <w:tcW w:w="5407" w:type="dxa"/>
            <w:vAlign w:val="center"/>
          </w:tcPr>
          <w:p w14:paraId="246AF254" w14:textId="77777777" w:rsidR="0063194E" w:rsidRPr="00151F4E" w:rsidRDefault="009E3506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f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d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ORR</m:t>
                  </m:r>
                </m:sub>
              </m:sSub>
            </m:oMath>
          </w:p>
        </w:tc>
      </w:tr>
      <w:tr w:rsidR="0063194E" w:rsidRPr="00B232B9" w14:paraId="09CDFFC4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EDD48D1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Prior distribution</w:t>
            </w:r>
          </w:p>
        </w:tc>
        <w:tc>
          <w:tcPr>
            <w:tcW w:w="5407" w:type="dxa"/>
            <w:vAlign w:val="center"/>
          </w:tcPr>
          <w:p w14:paraId="1A3F4F32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Uniform</w:t>
            </w:r>
          </w:p>
        </w:tc>
      </w:tr>
      <w:tr w:rsidR="0063194E" w:rsidRPr="00B232B9" w14:paraId="2EE83C35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3ED9CA6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 bounds</w:t>
            </w:r>
          </w:p>
        </w:tc>
        <w:tc>
          <w:tcPr>
            <w:tcW w:w="5407" w:type="dxa"/>
            <w:vAlign w:val="center"/>
          </w:tcPr>
          <w:p w14:paraId="4437E20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Main-text Table 2</w:t>
            </w:r>
          </w:p>
        </w:tc>
      </w:tr>
      <w:tr w:rsidR="0063194E" w:rsidRPr="00B232B9" w14:paraId="6F3F542C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E5A802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Random seed</w:t>
            </w:r>
          </w:p>
        </w:tc>
        <w:tc>
          <w:tcPr>
            <w:tcW w:w="5407" w:type="dxa"/>
            <w:vAlign w:val="center"/>
          </w:tcPr>
          <w:p w14:paraId="10F3ACF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63194E" w:rsidRPr="00B232B9" w14:paraId="3E493CAB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6B8D11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sampling</w:t>
            </w:r>
          </w:p>
        </w:tc>
        <w:tc>
          <w:tcPr>
            <w:tcW w:w="5407" w:type="dxa"/>
            <w:vAlign w:val="center"/>
          </w:tcPr>
          <w:p w14:paraId="1DD2E28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12-point Latin hypercube design (iterations 1–12)</w:t>
            </w:r>
          </w:p>
        </w:tc>
      </w:tr>
      <w:tr w:rsidR="0063194E" w:rsidRPr="00B232B9" w14:paraId="555B5B5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AA94DF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Acquisition function</w:t>
            </w:r>
          </w:p>
        </w:tc>
        <w:tc>
          <w:tcPr>
            <w:tcW w:w="5407" w:type="dxa"/>
            <w:vAlign w:val="center"/>
          </w:tcPr>
          <w:p w14:paraId="6C215233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Expected improvement</w:t>
            </w:r>
          </w:p>
        </w:tc>
      </w:tr>
      <w:tr w:rsidR="0063194E" w:rsidRPr="00B232B9" w14:paraId="216458BD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CCB4F1A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lastRenderedPageBreak/>
              <w:t>Total iterations</w:t>
            </w:r>
          </w:p>
        </w:tc>
        <w:tc>
          <w:tcPr>
            <w:tcW w:w="5407" w:type="dxa"/>
            <w:vAlign w:val="center"/>
          </w:tcPr>
          <w:p w14:paraId="0EA66B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32 (optimum at iteration 22)</w:t>
            </w:r>
          </w:p>
        </w:tc>
      </w:tr>
      <w:tr w:rsidR="0063194E" w:rsidRPr="00B232B9" w14:paraId="50E1608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1AD0DCC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Noise treatment</w:t>
            </w:r>
          </w:p>
        </w:tc>
        <w:tc>
          <w:tcPr>
            <w:tcW w:w="5407" w:type="dxa"/>
            <w:vAlign w:val="center"/>
          </w:tcPr>
          <w:p w14:paraId="06F71B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Deterministic objective</w:t>
            </w:r>
          </w:p>
        </w:tc>
      </w:tr>
      <w:tr w:rsidR="0063194E" w:rsidRPr="00B232B9" w14:paraId="4F6B8EDA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14004A9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Target RMSE</w:t>
            </w:r>
          </w:p>
        </w:tc>
        <w:tc>
          <w:tcPr>
            <w:tcW w:w="5407" w:type="dxa"/>
            <w:vAlign w:val="center"/>
          </w:tcPr>
          <w:p w14:paraId="3FFFB264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0.05%</w:t>
            </w:r>
          </w:p>
        </w:tc>
      </w:tr>
    </w:tbl>
    <w:p w14:paraId="6C5429F1" w14:textId="77777777" w:rsidR="00876655" w:rsidRPr="00CA2019" w:rsidRDefault="00876655" w:rsidP="00876655">
      <w:pPr>
        <w:pStyle w:val="Heading1"/>
        <w:spacing w:before="360"/>
      </w:pPr>
      <w:r>
        <w:t>S6. Uncertainty analysis</w:t>
      </w:r>
    </w:p>
    <w:p w14:paraId="73DA0034" w14:textId="77777777" w:rsidR="00876655" w:rsidRDefault="00876655" w:rsidP="00876655">
      <w:pPr>
        <w:pStyle w:val="BodyText"/>
      </w:pPr>
      <w:r w:rsidRPr="00F164F0">
        <w:t xml:space="preserve">Uncertainty in predicted mass loss arising from the calibrated kinetic parameters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E14F33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Pr="00E14F33">
        <w:rPr>
          <w:rFonts w:cs="Times New Roman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Pr="00F164F0">
        <w:t xml:space="preserve"> was evaluated using 50 parameter sets sampled from a 2000-draw GP-bootstrap calibration ensemble. At 672 h, the ensemble median mass loss was 0.333%, with 50% and 95% intervals of 0.330–0.338% and 0.315–0.375%, respectively, closely matching the BO-optimum prediction of 0.333%. F</w:t>
      </w:r>
      <w:r w:rsidR="00457C34">
        <w:t>our</w:t>
      </w:r>
      <w:r w:rsidRPr="00F164F0">
        <w:t xml:space="preserve"> of s</w:t>
      </w:r>
      <w:r w:rsidR="00457C34">
        <w:t>ix</w:t>
      </w:r>
      <w:r w:rsidRPr="00F164F0">
        <w:t xml:space="preserve"> literature measurements fell within the 95% interval. Because the GP ensemble represents uncertainty in the calibration objective rather than a formal parameter posterior, these bands are reported as parameter-propagated ensemble intervals and exclude measurement, model-form, and numerical uncertainty.</w:t>
      </w:r>
    </w:p>
    <w:p w14:paraId="0D46BC43" w14:textId="039DDB95" w:rsidR="005639C1" w:rsidRDefault="007163D0">
      <w:pPr>
        <w:pStyle w:val="BodyText"/>
        <w:spacing w:after="120"/>
        <w:ind w:firstLine="0"/>
      </w:pPr>
      <w:r>
        <w:t>Figure S6 shows the ensemble prediction and the distribution of mass loss at 672 h.</w:t>
      </w:r>
    </w:p>
    <w:p w14:paraId="6DB10312" w14:textId="77777777" w:rsidR="00876655" w:rsidRDefault="00876655" w:rsidP="00876655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4958DD8" wp14:editId="386F732F">
            <wp:extent cx="5731510" cy="23279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FB43D" w14:textId="73F074B1" w:rsidR="00876655" w:rsidRDefault="00876655" w:rsidP="00876655">
      <w:pPr>
        <w:pStyle w:val="Captions"/>
        <w:spacing w:before="80" w:after="360"/>
        <w:rPr>
          <w:sz w:val="20"/>
          <w:szCs w:val="20"/>
        </w:rPr>
      </w:pPr>
      <w:r w:rsidRPr="00CA2019">
        <w:rPr>
          <w:b/>
          <w:bCs/>
          <w:sz w:val="20"/>
          <w:szCs w:val="20"/>
        </w:rPr>
        <w:t>Figure S</w:t>
      </w:r>
      <w:r w:rsidRPr="00CA2019">
        <w:rPr>
          <w:b/>
          <w:bCs/>
          <w:sz w:val="20"/>
          <w:szCs w:val="20"/>
        </w:rPr>
        <w:fldChar w:fldCharType="begin"/>
      </w:r>
      <w:r w:rsidRPr="00CA2019">
        <w:rPr>
          <w:b/>
          <w:bCs/>
          <w:sz w:val="20"/>
          <w:szCs w:val="20"/>
        </w:rPr>
        <w:instrText xml:space="preserve"> SEQ Figure \* ARABIC </w:instrText>
      </w:r>
      <w:r w:rsidRPr="00CA2019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6</w:t>
      </w:r>
      <w:r w:rsidRPr="00CA2019">
        <w:rPr>
          <w:b/>
          <w:bCs/>
          <w:sz w:val="20"/>
          <w:szCs w:val="20"/>
        </w:rPr>
        <w:fldChar w:fldCharType="end"/>
      </w:r>
      <w:r w:rsidRPr="00CA2019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F164F0">
        <w:rPr>
          <w:sz w:val="20"/>
          <w:szCs w:val="20"/>
        </w:rPr>
        <w:t>Parameter-propagated uncertainty in predicted Zn mass loss. (a) Ensemble median and 50% and 95% parameter-propagated intervals obtained from 50 kinetic-parameter sets, compared with the BO-optimum prediction and literature measurements. (b) Distribution of predicted mass loss at 672 h. The ensemble median was 0.333%, with 50% and 95% intervals of 0.330–0.338% and 0.315–0.375%, respectively. The intervals represent kinetic-parameter uncertainty only and are not Bayesian credible or predictive intervals.</w:t>
      </w:r>
    </w:p>
    <w:p w14:paraId="6AB9AD7F" w14:textId="7041E36F" w:rsidR="00AA7E3B" w:rsidRDefault="00AA7E3B" w:rsidP="00876655">
      <w:pPr>
        <w:pStyle w:val="Captions"/>
        <w:spacing w:before="80" w:after="360"/>
        <w:rPr>
          <w:sz w:val="20"/>
          <w:szCs w:val="20"/>
        </w:rPr>
      </w:pPr>
    </w:p>
    <w:p w14:paraId="2ABF14A8" w14:textId="7F884A44" w:rsidR="00AA7E3B" w:rsidRDefault="00AA7E3B" w:rsidP="00876655">
      <w:pPr>
        <w:pStyle w:val="Captions"/>
        <w:spacing w:before="80" w:after="360"/>
        <w:rPr>
          <w:sz w:val="20"/>
          <w:szCs w:val="20"/>
        </w:rPr>
      </w:pPr>
    </w:p>
    <w:p w14:paraId="2A961FB8" w14:textId="5C4BA9FD" w:rsidR="00AA7E3B" w:rsidRDefault="00AA7E3B" w:rsidP="00876655">
      <w:pPr>
        <w:pStyle w:val="Captions"/>
        <w:spacing w:before="80" w:after="360"/>
        <w:rPr>
          <w:sz w:val="20"/>
          <w:szCs w:val="20"/>
        </w:rPr>
      </w:pPr>
    </w:p>
    <w:p w14:paraId="5DC52813" w14:textId="77777777" w:rsidR="00AA7E3B" w:rsidRPr="00F164F0" w:rsidRDefault="00AA7E3B" w:rsidP="00876655">
      <w:pPr>
        <w:pStyle w:val="Captions"/>
        <w:spacing w:before="80" w:after="360"/>
      </w:pPr>
    </w:p>
    <w:p w14:paraId="04BC8270" w14:textId="77777777" w:rsidR="009A33EE" w:rsidRDefault="009A33EE" w:rsidP="009A33EE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lastRenderedPageBreak/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11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>Comparison of simulated and measured mass loss in HBSS (validation) with the experimental scatter. Experimental values are mean ± SD (n = 3); |Error|/SD is the absolute error divided by the SD at the same immersion time. The validation RMSE of 0.0159% (R² = 0.9734) corresponds to 8.6% of the mean measured mass loss (0.185%) and 5.1% of the 28-day value.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50"/>
        <w:gridCol w:w="2400"/>
        <w:gridCol w:w="1700"/>
        <w:gridCol w:w="1700"/>
        <w:gridCol w:w="1976"/>
      </w:tblGrid>
      <w:tr w:rsidR="003A0691" w:rsidRPr="00540DBD" w14:paraId="11D95505" w14:textId="77777777" w:rsidTr="00554D08">
        <w:trPr>
          <w:cantSplit/>
          <w:tblHeader/>
          <w:jc w:val="center"/>
        </w:trPr>
        <w:tc>
          <w:tcPr>
            <w:tcW w:w="1250" w:type="dxa"/>
            <w:tcBorders>
              <w:bottom w:val="single" w:sz="6" w:space="0" w:color="000000"/>
            </w:tcBorders>
            <w:vAlign w:val="center"/>
          </w:tcPr>
          <w:p w14:paraId="4EE4B21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2400" w:type="dxa"/>
            <w:tcBorders>
              <w:bottom w:val="single" w:sz="6" w:space="0" w:color="000000"/>
            </w:tcBorders>
            <w:vAlign w:val="center"/>
          </w:tcPr>
          <w:p w14:paraId="369201E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Experiment (%, mean ± SD)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1A603F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Simulation (%)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797AAF7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Error (%)</w:t>
            </w:r>
          </w:p>
        </w:tc>
        <w:tc>
          <w:tcPr>
            <w:tcW w:w="1976" w:type="dxa"/>
            <w:tcBorders>
              <w:bottom w:val="single" w:sz="6" w:space="0" w:color="000000"/>
            </w:tcBorders>
            <w:vAlign w:val="center"/>
          </w:tcPr>
          <w:p w14:paraId="72AA7F0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|Error|/SD</w:t>
            </w:r>
          </w:p>
        </w:tc>
      </w:tr>
      <w:tr w:rsidR="003A0691" w:rsidRPr="00540DBD" w14:paraId="269E015A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599F4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400" w:type="dxa"/>
            <w:vAlign w:val="center"/>
          </w:tcPr>
          <w:p w14:paraId="4EE4E4C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0.045 ± 0.016</w:t>
            </w:r>
          </w:p>
        </w:tc>
        <w:tc>
          <w:tcPr>
            <w:tcW w:w="1700" w:type="dxa"/>
            <w:vAlign w:val="center"/>
          </w:tcPr>
          <w:p w14:paraId="3E2905D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0.049</w:t>
            </w:r>
          </w:p>
        </w:tc>
        <w:tc>
          <w:tcPr>
            <w:tcW w:w="1700" w:type="dxa"/>
            <w:vAlign w:val="center"/>
          </w:tcPr>
          <w:p w14:paraId="46D23D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+0.004</w:t>
            </w:r>
          </w:p>
        </w:tc>
        <w:tc>
          <w:tcPr>
            <w:tcW w:w="1976" w:type="dxa"/>
            <w:vAlign w:val="center"/>
          </w:tcPr>
          <w:p w14:paraId="0A7E340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0.28</w:t>
            </w:r>
          </w:p>
        </w:tc>
      </w:tr>
      <w:tr w:rsidR="003A0691" w:rsidRPr="00540DBD" w14:paraId="40348D68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16A69E4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72</w:t>
            </w:r>
          </w:p>
        </w:tc>
        <w:tc>
          <w:tcPr>
            <w:tcW w:w="2400" w:type="dxa"/>
            <w:vAlign w:val="center"/>
          </w:tcPr>
          <w:p w14:paraId="1112052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0.105 ± 0.036</w:t>
            </w:r>
          </w:p>
        </w:tc>
        <w:tc>
          <w:tcPr>
            <w:tcW w:w="1700" w:type="dxa"/>
            <w:vAlign w:val="center"/>
          </w:tcPr>
          <w:p w14:paraId="7B5D2F7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0.114</w:t>
            </w:r>
          </w:p>
        </w:tc>
        <w:tc>
          <w:tcPr>
            <w:tcW w:w="1700" w:type="dxa"/>
            <w:vAlign w:val="center"/>
          </w:tcPr>
          <w:p w14:paraId="40F3CBB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+0.008</w:t>
            </w:r>
          </w:p>
        </w:tc>
        <w:tc>
          <w:tcPr>
            <w:tcW w:w="1976" w:type="dxa"/>
            <w:vAlign w:val="center"/>
          </w:tcPr>
          <w:p w14:paraId="63DA13C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</w:t>
            </w:r>
          </w:p>
        </w:tc>
      </w:tr>
      <w:tr w:rsidR="003A0691" w:rsidRPr="00540DBD" w14:paraId="1F222B0D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3B21B4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400" w:type="dxa"/>
            <w:vAlign w:val="center"/>
          </w:tcPr>
          <w:p w14:paraId="1720587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0.209 ± 0.061</w:t>
            </w:r>
          </w:p>
        </w:tc>
        <w:tc>
          <w:tcPr>
            <w:tcW w:w="1700" w:type="dxa"/>
            <w:vAlign w:val="center"/>
          </w:tcPr>
          <w:p w14:paraId="4EEF570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0.188</w:t>
            </w:r>
          </w:p>
        </w:tc>
        <w:tc>
          <w:tcPr>
            <w:tcW w:w="1700" w:type="dxa"/>
            <w:vAlign w:val="center"/>
          </w:tcPr>
          <w:p w14:paraId="4EE97F8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−0.021</w:t>
            </w:r>
          </w:p>
        </w:tc>
        <w:tc>
          <w:tcPr>
            <w:tcW w:w="1976" w:type="dxa"/>
            <w:vAlign w:val="center"/>
          </w:tcPr>
          <w:p w14:paraId="6ECF3B4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0.34</w:t>
            </w:r>
          </w:p>
        </w:tc>
      </w:tr>
      <w:tr w:rsidR="003A0691" w:rsidRPr="00540DBD" w14:paraId="53AEA522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7CDA48C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400" w:type="dxa"/>
            <w:vAlign w:val="center"/>
          </w:tcPr>
          <w:p w14:paraId="5D2780F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0.254 ± 0.061</w:t>
            </w:r>
          </w:p>
        </w:tc>
        <w:tc>
          <w:tcPr>
            <w:tcW w:w="1700" w:type="dxa"/>
            <w:vAlign w:val="center"/>
          </w:tcPr>
          <w:p w14:paraId="4F8C63D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0.240</w:t>
            </w:r>
          </w:p>
        </w:tc>
        <w:tc>
          <w:tcPr>
            <w:tcW w:w="1700" w:type="dxa"/>
            <w:vAlign w:val="center"/>
          </w:tcPr>
          <w:p w14:paraId="57DE371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−0.014</w:t>
            </w:r>
          </w:p>
        </w:tc>
        <w:tc>
          <w:tcPr>
            <w:tcW w:w="1976" w:type="dxa"/>
            <w:vAlign w:val="center"/>
          </w:tcPr>
          <w:p w14:paraId="02F387D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0.23</w:t>
            </w:r>
          </w:p>
        </w:tc>
      </w:tr>
      <w:tr w:rsidR="003A0691" w:rsidRPr="00540DBD" w14:paraId="30BDDB63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6E01F06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</w:t>
            </w:r>
          </w:p>
        </w:tc>
        <w:tc>
          <w:tcPr>
            <w:tcW w:w="2400" w:type="dxa"/>
            <w:vAlign w:val="center"/>
          </w:tcPr>
          <w:p w14:paraId="5B6FA0B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0.311 ± 0.115</w:t>
            </w:r>
          </w:p>
        </w:tc>
        <w:tc>
          <w:tcPr>
            <w:tcW w:w="1700" w:type="dxa"/>
            <w:vAlign w:val="center"/>
          </w:tcPr>
          <w:p w14:paraId="6475607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0.333</w:t>
            </w:r>
          </w:p>
        </w:tc>
        <w:tc>
          <w:tcPr>
            <w:tcW w:w="1700" w:type="dxa"/>
            <w:vAlign w:val="center"/>
          </w:tcPr>
          <w:p w14:paraId="0602F38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+0.022</w:t>
            </w:r>
          </w:p>
        </w:tc>
        <w:tc>
          <w:tcPr>
            <w:tcW w:w="1976" w:type="dxa"/>
            <w:vAlign w:val="center"/>
          </w:tcPr>
          <w:p w14:paraId="3A4629C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0.19</w:t>
            </w:r>
          </w:p>
        </w:tc>
      </w:tr>
    </w:tbl>
    <w:p w14:paraId="7E9636DC" w14:textId="77777777" w:rsidR="0021293D" w:rsidRDefault="0021293D" w:rsidP="0021293D">
      <w:pPr>
        <w:pStyle w:val="Heading1"/>
      </w:pPr>
      <w:r>
        <w:t>S7. Case-study results</w:t>
      </w:r>
    </w:p>
    <w:p w14:paraId="63C38437" w14:textId="04EA1288" w:rsidR="005639C1" w:rsidRDefault="007163D0">
      <w:pPr>
        <w:pStyle w:val="BodyText"/>
        <w:spacing w:after="120"/>
        <w:ind w:firstLine="0"/>
      </w:pPr>
      <w:r>
        <w:t>Figure S7 shows the spatial evolution of oxygen and film saturation in the stent. Table S12 and Figures S8 and S9 describe the controlled test structures and their results.</w:t>
      </w:r>
    </w:p>
    <w:p w14:paraId="5EB41A34" w14:textId="77777777" w:rsidR="0021293D" w:rsidRDefault="0021293D" w:rsidP="002C4E1B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6A29224" wp14:editId="45CD2E2B">
            <wp:extent cx="5731510" cy="267661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E3021" w14:textId="22D5A195" w:rsidR="0021293D" w:rsidRPr="0021293D" w:rsidRDefault="0021293D" w:rsidP="0021293D">
      <w:pPr>
        <w:pStyle w:val="Captions"/>
        <w:spacing w:before="80" w:after="360"/>
      </w:pPr>
      <w:r w:rsidRPr="0021293D">
        <w:rPr>
          <w:b/>
          <w:bCs/>
          <w:sz w:val="20"/>
          <w:szCs w:val="20"/>
        </w:rPr>
        <w:t>Figure S</w:t>
      </w:r>
      <w:r w:rsidRPr="0021293D">
        <w:rPr>
          <w:b/>
          <w:bCs/>
          <w:sz w:val="20"/>
          <w:szCs w:val="20"/>
        </w:rPr>
        <w:fldChar w:fldCharType="begin"/>
      </w:r>
      <w:r w:rsidRPr="0021293D">
        <w:rPr>
          <w:b/>
          <w:bCs/>
          <w:sz w:val="20"/>
          <w:szCs w:val="20"/>
        </w:rPr>
        <w:instrText xml:space="preserve"> SEQ Figure \* ARABIC </w:instrText>
      </w:r>
      <w:r w:rsidRPr="0021293D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7</w:t>
      </w:r>
      <w:r w:rsidRPr="0021293D">
        <w:rPr>
          <w:b/>
          <w:bCs/>
          <w:sz w:val="20"/>
          <w:szCs w:val="20"/>
        </w:rPr>
        <w:fldChar w:fldCharType="end"/>
      </w:r>
      <w:r w:rsidRPr="0021293D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1293D">
        <w:rPr>
          <w:sz w:val="20"/>
          <w:szCs w:val="20"/>
        </w:rPr>
        <w:t>Spatial evolution of (a) dissolved oxygen concentration (C</w:t>
      </w:r>
      <w:r w:rsidRPr="002C4E1B">
        <w:rPr>
          <w:sz w:val="20"/>
          <w:szCs w:val="20"/>
          <w:vertAlign w:val="subscript"/>
        </w:rPr>
        <w:t>O2</w:t>
      </w:r>
      <w:r w:rsidRPr="0021293D">
        <w:rPr>
          <w:sz w:val="20"/>
          <w:szCs w:val="20"/>
        </w:rPr>
        <w:t>​​) and (b) normalized corrosion-film saturation (F/F</w:t>
      </w:r>
      <w:r w:rsidRPr="002C4E1B">
        <w:rPr>
          <w:sz w:val="20"/>
          <w:szCs w:val="20"/>
          <w:vertAlign w:val="subscript"/>
        </w:rPr>
        <w:t>max</w:t>
      </w:r>
      <w:r w:rsidRPr="0021293D">
        <w:rPr>
          <w:sz w:val="20"/>
          <w:szCs w:val="20"/>
        </w:rPr>
        <w:t xml:space="preserve">​) in a transverse cross-section of the six-crown Zn stent during </w:t>
      </w:r>
      <w:r w:rsidR="00BF2EE4">
        <w:rPr>
          <w:sz w:val="20"/>
          <w:szCs w:val="20"/>
        </w:rPr>
        <w:t>672</w:t>
      </w:r>
      <w:r w:rsidRPr="0021293D">
        <w:rPr>
          <w:sz w:val="20"/>
          <w:szCs w:val="20"/>
        </w:rPr>
        <w:t xml:space="preserve"> h of immersion.</w:t>
      </w:r>
    </w:p>
    <w:p w14:paraId="3E6949C4" w14:textId="78A4911D" w:rsidR="00065991" w:rsidRDefault="00065991" w:rsidP="00065991">
      <w:pPr>
        <w:pStyle w:val="Captions"/>
        <w:keepNext/>
        <w:spacing w:before="360" w:after="80"/>
      </w:pPr>
      <w:r w:rsidRPr="00876655">
        <w:rPr>
          <w:b/>
          <w:bCs/>
          <w:sz w:val="20"/>
          <w:szCs w:val="20"/>
        </w:rPr>
        <w:lastRenderedPageBreak/>
        <w:t>Table S</w:t>
      </w:r>
      <w:r w:rsidRPr="00876655">
        <w:rPr>
          <w:b/>
          <w:bCs/>
          <w:sz w:val="20"/>
          <w:szCs w:val="20"/>
        </w:rPr>
        <w:fldChar w:fldCharType="begin"/>
      </w:r>
      <w:r w:rsidRPr="00876655">
        <w:rPr>
          <w:b/>
          <w:bCs/>
          <w:sz w:val="20"/>
          <w:szCs w:val="20"/>
        </w:rPr>
        <w:instrText xml:space="preserve"> SEQ Table \* ARABIC </w:instrText>
      </w:r>
      <w:r w:rsidRPr="00876655">
        <w:rPr>
          <w:b/>
          <w:bCs/>
          <w:sz w:val="20"/>
          <w:szCs w:val="20"/>
        </w:rPr>
        <w:fldChar w:fldCharType="separate"/>
      </w:r>
      <w:r w:rsidR="00876655">
        <w:rPr>
          <w:b/>
          <w:bCs/>
          <w:noProof/>
          <w:sz w:val="20"/>
          <w:szCs w:val="20"/>
        </w:rPr>
        <w:t>12</w:t>
      </w:r>
      <w:r w:rsidRPr="00876655">
        <w:rPr>
          <w:b/>
          <w:bCs/>
          <w:sz w:val="20"/>
          <w:szCs w:val="20"/>
        </w:rPr>
        <w:fldChar w:fldCharType="end"/>
      </w:r>
      <w:r w:rsidRPr="00876655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065991">
        <w:rPr>
          <w:sz w:val="20"/>
          <w:szCs w:val="20"/>
        </w:rPr>
        <w:t>Geometric and computational parameters of the controlled test structures used in Figure 8.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94"/>
        <w:gridCol w:w="1526"/>
        <w:gridCol w:w="1526"/>
        <w:gridCol w:w="1886"/>
        <w:gridCol w:w="1167"/>
        <w:gridCol w:w="1527"/>
      </w:tblGrid>
      <w:tr w:rsidR="00B95AFF" w:rsidRPr="00D50C40" w14:paraId="6004D165" w14:textId="77777777" w:rsidTr="00405F70">
        <w:trPr>
          <w:cantSplit/>
          <w:tblHeader/>
          <w:jc w:val="center"/>
        </w:trPr>
        <w:tc>
          <w:tcPr>
            <w:tcW w:w="1394" w:type="dxa"/>
            <w:tcBorders>
              <w:bottom w:val="single" w:sz="6" w:space="0" w:color="000000"/>
            </w:tcBorders>
            <w:vAlign w:val="center"/>
          </w:tcPr>
          <w:p w14:paraId="683FADA1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Specimen / configuration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DF4F9F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 / inlet faces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A274C74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Secondary dimension / wall faces</w:t>
            </w:r>
          </w:p>
        </w:tc>
        <w:tc>
          <w:tcPr>
            <w:tcW w:w="1886" w:type="dxa"/>
            <w:tcBorders>
              <w:bottom w:val="single" w:sz="6" w:space="0" w:color="000000"/>
            </w:tcBorders>
            <w:vAlign w:val="center"/>
          </w:tcPr>
          <w:p w14:paraId="00ACED90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Cross-section</w:t>
            </w:r>
          </w:p>
        </w:tc>
        <w:tc>
          <w:tcPr>
            <w:tcW w:w="1167" w:type="dxa"/>
            <w:tcBorders>
              <w:bottom w:val="single" w:sz="6" w:space="0" w:color="000000"/>
            </w:tcBorders>
            <w:vAlign w:val="center"/>
          </w:tcPr>
          <w:p w14:paraId="0522649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SA/V (mm⁻¹)</w:t>
            </w:r>
          </w:p>
        </w:tc>
        <w:tc>
          <w:tcPr>
            <w:tcW w:w="1527" w:type="dxa"/>
            <w:tcBorders>
              <w:bottom w:val="single" w:sz="6" w:space="0" w:color="000000"/>
            </w:tcBorders>
            <w:vAlign w:val="center"/>
          </w:tcPr>
          <w:p w14:paraId="137A9077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Electrolyte domain</w:t>
            </w:r>
          </w:p>
        </w:tc>
      </w:tr>
      <w:tr w:rsidR="00CA2019" w:rsidRPr="00D50C40" w14:paraId="77575540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3E1F80D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Straight wire</w:t>
            </w:r>
          </w:p>
        </w:tc>
        <w:tc>
          <w:tcPr>
            <w:tcW w:w="1526" w:type="dxa"/>
            <w:vAlign w:val="center"/>
          </w:tcPr>
          <w:p w14:paraId="7EF5C709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0°; R=∞</w:t>
            </w:r>
          </w:p>
        </w:tc>
        <w:tc>
          <w:tcPr>
            <w:tcW w:w="1526" w:type="dxa"/>
            <w:vAlign w:val="center"/>
          </w:tcPr>
          <w:p w14:paraId="35E1ACF1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N/A</w:t>
            </w:r>
          </w:p>
        </w:tc>
        <w:tc>
          <w:tcPr>
            <w:tcW w:w="1886" w:type="dxa"/>
            <w:vAlign w:val="center"/>
          </w:tcPr>
          <w:p w14:paraId="2DB45904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AC7C285" w14:textId="77777777" w:rsidR="00CA2019" w:rsidRPr="00D50C40" w:rsidRDefault="003976E7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C7E60E0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FA4ACFB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C6E7D5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30°</w:t>
            </w:r>
          </w:p>
        </w:tc>
        <w:tc>
          <w:tcPr>
            <w:tcW w:w="1526" w:type="dxa"/>
            <w:vAlign w:val="center"/>
          </w:tcPr>
          <w:p w14:paraId="65CAA3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30°; R=3.15 mm</w:t>
            </w:r>
          </w:p>
        </w:tc>
        <w:tc>
          <w:tcPr>
            <w:tcW w:w="1526" w:type="dxa"/>
            <w:vAlign w:val="center"/>
          </w:tcPr>
          <w:p w14:paraId="29EBA6E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3.0688 mm</w:t>
            </w:r>
          </w:p>
        </w:tc>
        <w:tc>
          <w:tcPr>
            <w:tcW w:w="1886" w:type="dxa"/>
            <w:vAlign w:val="center"/>
          </w:tcPr>
          <w:p w14:paraId="506F72E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E986A4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31F58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1B59C0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7B8D05D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90°</w:t>
            </w:r>
          </w:p>
        </w:tc>
        <w:tc>
          <w:tcPr>
            <w:tcW w:w="1526" w:type="dxa"/>
            <w:vAlign w:val="center"/>
          </w:tcPr>
          <w:p w14:paraId="6C257E6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90°; R=1.0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1526" w:type="dxa"/>
            <w:vAlign w:val="center"/>
          </w:tcPr>
          <w:p w14:paraId="756E9D3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0.9679 mm</w:t>
            </w:r>
          </w:p>
        </w:tc>
        <w:tc>
          <w:tcPr>
            <w:tcW w:w="1886" w:type="dxa"/>
            <w:vAlign w:val="center"/>
          </w:tcPr>
          <w:p w14:paraId="2F922D8F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5EA940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33E8D0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10A8EB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5F30ED1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150°</w:t>
            </w:r>
          </w:p>
        </w:tc>
        <w:tc>
          <w:tcPr>
            <w:tcW w:w="1526" w:type="dxa"/>
            <w:vAlign w:val="center"/>
          </w:tcPr>
          <w:p w14:paraId="7303D50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150°; R=0.63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mm</w:t>
            </w:r>
          </w:p>
        </w:tc>
        <w:tc>
          <w:tcPr>
            <w:tcW w:w="1526" w:type="dxa"/>
            <w:vAlign w:val="center"/>
          </w:tcPr>
          <w:p w14:paraId="751079A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0.5478 mm</w:t>
            </w:r>
          </w:p>
        </w:tc>
        <w:tc>
          <w:tcPr>
            <w:tcW w:w="1886" w:type="dxa"/>
            <w:vAlign w:val="center"/>
          </w:tcPr>
          <w:p w14:paraId="141815A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B033F4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69F1C39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194BDFA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D131FA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Close gap</w:t>
            </w:r>
          </w:p>
        </w:tc>
        <w:tc>
          <w:tcPr>
            <w:tcW w:w="1526" w:type="dxa"/>
            <w:vAlign w:val="center"/>
          </w:tcPr>
          <w:p w14:paraId="11B1796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-to-cent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0.30 mm</w:t>
            </w:r>
          </w:p>
        </w:tc>
        <w:tc>
          <w:tcPr>
            <w:tcW w:w="1526" w:type="dxa"/>
            <w:vAlign w:val="center"/>
          </w:tcPr>
          <w:p w14:paraId="608BE98B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0.135 mm</w:t>
            </w:r>
          </w:p>
        </w:tc>
        <w:tc>
          <w:tcPr>
            <w:tcW w:w="1886" w:type="dxa"/>
            <w:vAlign w:val="center"/>
          </w:tcPr>
          <w:p w14:paraId="728B540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6622BAC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6332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AA25036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0248EE2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Far gap</w:t>
            </w:r>
          </w:p>
        </w:tc>
        <w:tc>
          <w:tcPr>
            <w:tcW w:w="1526" w:type="dxa"/>
            <w:vAlign w:val="center"/>
          </w:tcPr>
          <w:p w14:paraId="42E3EDF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Center-to-center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1.60 mm</w:t>
            </w:r>
          </w:p>
        </w:tc>
        <w:tc>
          <w:tcPr>
            <w:tcW w:w="1526" w:type="dxa"/>
            <w:vAlign w:val="center"/>
          </w:tcPr>
          <w:p w14:paraId="3D2DA4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1.435 mm</w:t>
            </w:r>
          </w:p>
        </w:tc>
        <w:tc>
          <w:tcPr>
            <w:tcW w:w="1886" w:type="dxa"/>
            <w:vAlign w:val="center"/>
          </w:tcPr>
          <w:p w14:paraId="1B08FBA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42AC0A2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0DEF4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5E56DC1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FEC0F6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Low SA/V</w:t>
            </w:r>
          </w:p>
        </w:tc>
        <w:tc>
          <w:tcPr>
            <w:tcW w:w="1526" w:type="dxa"/>
            <w:vAlign w:val="center"/>
          </w:tcPr>
          <w:p w14:paraId="5E175F32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0.2475 mm</w:t>
            </w:r>
          </w:p>
        </w:tc>
        <w:tc>
          <w:tcPr>
            <w:tcW w:w="1526" w:type="dxa"/>
            <w:vAlign w:val="center"/>
          </w:tcPr>
          <w:p w14:paraId="41ABE245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7A145A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0.2475 × 0.2475 mm rounded-square wires</w:t>
            </w:r>
          </w:p>
        </w:tc>
        <w:tc>
          <w:tcPr>
            <w:tcW w:w="1167" w:type="dxa"/>
            <w:vAlign w:val="center"/>
          </w:tcPr>
          <w:p w14:paraId="79E05D0D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16.07</w:t>
            </w:r>
          </w:p>
        </w:tc>
        <w:tc>
          <w:tcPr>
            <w:tcW w:w="1527" w:type="dxa"/>
            <w:vAlign w:val="center"/>
          </w:tcPr>
          <w:p w14:paraId="2F5EAE7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7986FAE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45477E8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Mid SA/V</w:t>
            </w:r>
          </w:p>
        </w:tc>
        <w:tc>
          <w:tcPr>
            <w:tcW w:w="1526" w:type="dxa"/>
            <w:vAlign w:val="center"/>
          </w:tcPr>
          <w:p w14:paraId="62CD149F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0.165 mm</w:t>
            </w:r>
          </w:p>
        </w:tc>
        <w:tc>
          <w:tcPr>
            <w:tcW w:w="1526" w:type="dxa"/>
            <w:vAlign w:val="center"/>
          </w:tcPr>
          <w:p w14:paraId="709CF7F8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50E1C7A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00B41993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45C4B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183DAF4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E014B54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High SA/V</w:t>
            </w:r>
          </w:p>
        </w:tc>
        <w:tc>
          <w:tcPr>
            <w:tcW w:w="1526" w:type="dxa"/>
            <w:vAlign w:val="center"/>
          </w:tcPr>
          <w:p w14:paraId="52B3A0E5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0.0825 mm</w:t>
            </w:r>
          </w:p>
        </w:tc>
        <w:tc>
          <w:tcPr>
            <w:tcW w:w="1526" w:type="dxa"/>
            <w:vAlign w:val="center"/>
          </w:tcPr>
          <w:p w14:paraId="503040B1" w14:textId="77777777" w:rsidR="003976E7" w:rsidRPr="00D50C40" w:rsidRDefault="003976E7" w:rsidP="00197311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662E956C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0.0825 × 0.0825 mm rounded-square wires</w:t>
            </w:r>
          </w:p>
        </w:tc>
        <w:tc>
          <w:tcPr>
            <w:tcW w:w="1167" w:type="dxa"/>
            <w:vAlign w:val="center"/>
          </w:tcPr>
          <w:p w14:paraId="2427493F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48.21</w:t>
            </w:r>
          </w:p>
        </w:tc>
        <w:tc>
          <w:tcPr>
            <w:tcW w:w="1527" w:type="dxa"/>
            <w:vAlign w:val="center"/>
          </w:tcPr>
          <w:p w14:paraId="1231B6C7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</w:tbl>
    <w:p w14:paraId="117B3A53" w14:textId="77777777" w:rsidR="00860DF3" w:rsidRDefault="00BF2EE4" w:rsidP="00B9579D">
      <w:pPr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70FF36" wp14:editId="68FBA16B">
            <wp:extent cx="5731510" cy="451294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79D">
        <w:rPr>
          <w:noProof/>
        </w:rPr>
        <w:t xml:space="preserve"> </w:t>
      </w:r>
    </w:p>
    <w:p w14:paraId="3F7946B6" w14:textId="5C600A62" w:rsidR="006B3F58" w:rsidRPr="006B3F58" w:rsidRDefault="00860DF3" w:rsidP="00357694">
      <w:pPr>
        <w:pStyle w:val="Captions"/>
        <w:spacing w:before="80" w:after="360"/>
        <w:rPr>
          <w:iCs w:val="0"/>
        </w:rPr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405F70">
        <w:rPr>
          <w:b/>
          <w:bCs/>
          <w:noProof/>
          <w:sz w:val="20"/>
          <w:szCs w:val="20"/>
        </w:rPr>
        <w:t>8</w:t>
      </w:r>
      <w:r w:rsidRPr="00810930">
        <w:rPr>
          <w:b/>
          <w:bCs/>
          <w:sz w:val="20"/>
          <w:szCs w:val="20"/>
        </w:rPr>
        <w:fldChar w:fldCharType="end"/>
      </w:r>
      <w:r w:rsidR="00B9579D" w:rsidRPr="00810930">
        <w:rPr>
          <w:b/>
          <w:bCs/>
          <w:sz w:val="20"/>
          <w:szCs w:val="20"/>
        </w:rPr>
        <w:t>.</w:t>
      </w:r>
      <w:r w:rsidR="00B9579D">
        <w:rPr>
          <w:sz w:val="20"/>
          <w:szCs w:val="20"/>
        </w:rPr>
        <w:t xml:space="preserve"> </w:t>
      </w:r>
      <w:r w:rsidR="00357694" w:rsidRPr="00357694">
        <w:rPr>
          <w:sz w:val="20"/>
          <w:szCs w:val="20"/>
        </w:rPr>
        <w:t>(a) Mass-loss evolution for different surface-area-to-volume ratios (SA/V). (b) Final mass loss as a function of SA/V. (c) Final mass loss as a function of wire curvature (</w:t>
      </w:r>
      <w:r w:rsidR="00357694">
        <w:rPr>
          <w:sz w:val="20"/>
          <w:szCs w:val="20"/>
        </w:rPr>
        <w:t>κ = 1/R</w:t>
      </w:r>
      <w:r w:rsidR="00357694" w:rsidRPr="00357694">
        <w:rPr>
          <w:sz w:val="20"/>
          <w:szCs w:val="20"/>
        </w:rPr>
        <w:t xml:space="preserve">). (d) Final mass loss as a function of center-to-center inter-wire spacing. Dashed lines indicate linear fits. Higher SA/V, curvature, and spacing increased degradation, with </w:t>
      </w:r>
      <w:bookmarkStart w:id="39" w:name="_Hlk241828842"/>
      <w:r w:rsidR="00357694" w:rsidRPr="00357694">
        <w:rPr>
          <w:sz w:val="20"/>
          <w:szCs w:val="20"/>
        </w:rPr>
        <w:t>SA/V exhibiting the strongest correlation with cumulative mass loss.</w:t>
      </w:r>
      <w:bookmarkEnd w:id="39"/>
      <w:r>
        <w:rPr>
          <w:iCs w:val="0"/>
          <w:sz w:val="20"/>
          <w:szCs w:val="20"/>
        </w:rPr>
        <w:t xml:space="preserve"> </w:t>
      </w:r>
    </w:p>
    <w:p w14:paraId="2A9A95AD" w14:textId="77777777" w:rsidR="00552E50" w:rsidRDefault="00552E50">
      <w:pPr>
        <w:keepNext/>
        <w:spacing w:before="360" w:line="240" w:lineRule="auto"/>
        <w:ind w:firstLine="0"/>
        <w:jc w:val="center"/>
        <w:rPr>
          <w:iCs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186C67CE" wp14:editId="11D70CD3">
            <wp:extent cx="5731510" cy="45046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CD45C" w14:textId="6B7B2D63" w:rsidR="00496CE8" w:rsidRPr="00876655" w:rsidRDefault="00552E50" w:rsidP="00876655">
      <w:pPr>
        <w:pStyle w:val="Captions"/>
        <w:spacing w:before="80" w:after="360"/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9</w:t>
      </w:r>
      <w:r w:rsidRPr="00810930">
        <w:rPr>
          <w:b/>
          <w:bCs/>
          <w:sz w:val="20"/>
          <w:szCs w:val="20"/>
        </w:rPr>
        <w:fldChar w:fldCharType="end"/>
      </w:r>
      <w:r w:rsidRPr="00810930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552E50">
        <w:rPr>
          <w:sz w:val="20"/>
          <w:szCs w:val="20"/>
        </w:rPr>
        <w:t xml:space="preserve">Cross-sectional corrosion morphology after 672 h. (a) Curved wires showing increasing preferential corrosion </w:t>
      </w:r>
      <w:r w:rsidR="00BF5111">
        <w:rPr>
          <w:sz w:val="20"/>
          <w:szCs w:val="20"/>
        </w:rPr>
        <w:t>on the outer convex surface</w:t>
      </w:r>
      <w:r w:rsidRPr="00552E50">
        <w:rPr>
          <w:sz w:val="20"/>
          <w:szCs w:val="20"/>
        </w:rPr>
        <w:t xml:space="preserve">. (b) Straight and adjacent wires showing reduced corrosion on the shielded facing surface relative to the </w:t>
      </w:r>
      <w:r w:rsidR="00772BA4">
        <w:rPr>
          <w:sz w:val="20"/>
          <w:szCs w:val="20"/>
        </w:rPr>
        <w:t>outward-exposed</w:t>
      </w:r>
      <w:r w:rsidRPr="00552E50">
        <w:rPr>
          <w:sz w:val="20"/>
          <w:szCs w:val="20"/>
        </w:rPr>
        <w:t xml:space="preserve"> surface. CC denotes the center-to-center spacing.</w:t>
      </w:r>
    </w:p>
    <w:p w14:paraId="19095023" w14:textId="77777777" w:rsidR="003933A3" w:rsidRDefault="003933A3">
      <w:pPr>
        <w:spacing w:after="160" w:line="259" w:lineRule="auto"/>
        <w:ind w:firstLine="0"/>
        <w:jc w:val="left"/>
        <w:rPr>
          <w:rFonts w:cs="Times New Roman"/>
          <w:b/>
          <w:color w:val="000000"/>
          <w:szCs w:val="40"/>
        </w:rPr>
      </w:pPr>
      <w:r>
        <w:br w:type="page"/>
      </w:r>
    </w:p>
    <w:p w14:paraId="011DC90C" w14:textId="2188D2BD" w:rsidR="005639C1" w:rsidRDefault="007163D0">
      <w:pPr>
        <w:pStyle w:val="Heading1"/>
      </w:pPr>
      <w:r>
        <w:lastRenderedPageBreak/>
        <w:t>References</w:t>
      </w:r>
    </w:p>
    <w:p w14:paraId="6EB67266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[1]</w:t>
      </w:r>
      <w:r>
        <w:rPr>
          <w:sz w:val="20"/>
        </w:rPr>
        <w:tab/>
        <w:t xml:space="preserve">C. </w:t>
      </w:r>
      <w:proofErr w:type="spellStart"/>
      <w:r>
        <w:rPr>
          <w:sz w:val="20"/>
        </w:rPr>
        <w:t>Geuzaine</w:t>
      </w:r>
      <w:proofErr w:type="spellEnd"/>
      <w:r>
        <w:rPr>
          <w:sz w:val="20"/>
        </w:rPr>
        <w:t xml:space="preserve">, J.-F. Remacle, Int. J. </w:t>
      </w:r>
      <w:proofErr w:type="spellStart"/>
      <w:r>
        <w:rPr>
          <w:sz w:val="20"/>
        </w:rPr>
        <w:t>Numer</w:t>
      </w:r>
      <w:proofErr w:type="spellEnd"/>
      <w:r>
        <w:rPr>
          <w:sz w:val="20"/>
        </w:rPr>
        <w:t>. Methods Eng. 2009, 79, 1309. https://doi.org/10.1002/nme.2579.</w:t>
      </w:r>
    </w:p>
    <w:p w14:paraId="684FB73A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[2]</w:t>
      </w:r>
      <w:r>
        <w:rPr>
          <w:sz w:val="20"/>
        </w:rPr>
        <w:tab/>
        <w:t xml:space="preserve">H. Si, ACM Trans. Math. </w:t>
      </w:r>
      <w:proofErr w:type="spellStart"/>
      <w:r>
        <w:rPr>
          <w:sz w:val="20"/>
        </w:rPr>
        <w:t>Softw</w:t>
      </w:r>
      <w:proofErr w:type="spellEnd"/>
      <w:r>
        <w:rPr>
          <w:sz w:val="20"/>
        </w:rPr>
        <w:t>. 2015, 41, 11. https://doi.org/10.1145/2629697.</w:t>
      </w:r>
    </w:p>
    <w:p w14:paraId="55352155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[3]</w:t>
      </w:r>
      <w:r>
        <w:rPr>
          <w:sz w:val="20"/>
        </w:rPr>
        <w:tab/>
        <w:t xml:space="preserve">C. </w:t>
      </w:r>
      <w:proofErr w:type="spellStart"/>
      <w:r>
        <w:rPr>
          <w:sz w:val="20"/>
        </w:rPr>
        <w:t>Dapogny</w:t>
      </w:r>
      <w:proofErr w:type="spellEnd"/>
      <w:r>
        <w:rPr>
          <w:sz w:val="20"/>
        </w:rPr>
        <w:t xml:space="preserve">, C. </w:t>
      </w:r>
      <w:proofErr w:type="spellStart"/>
      <w:r>
        <w:rPr>
          <w:sz w:val="20"/>
        </w:rPr>
        <w:t>Dobrzynski</w:t>
      </w:r>
      <w:proofErr w:type="spellEnd"/>
      <w:r>
        <w:rPr>
          <w:sz w:val="20"/>
        </w:rPr>
        <w:t xml:space="preserve">, P. Frey, J. </w:t>
      </w:r>
      <w:proofErr w:type="spellStart"/>
      <w:r>
        <w:rPr>
          <w:sz w:val="20"/>
        </w:rPr>
        <w:t>Comput</w:t>
      </w:r>
      <w:proofErr w:type="spellEnd"/>
      <w:r>
        <w:rPr>
          <w:sz w:val="20"/>
        </w:rPr>
        <w:t>. Phys. 2014, 262, 358. https://doi.org/10.1016/j.jcp.2014.01.005.</w:t>
      </w:r>
    </w:p>
    <w:p w14:paraId="724C9DF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[4]</w:t>
      </w:r>
      <w:r>
        <w:rPr>
          <w:sz w:val="20"/>
        </w:rPr>
        <w:tab/>
        <w:t xml:space="preserve">F. Hecht, J. </w:t>
      </w:r>
      <w:proofErr w:type="spellStart"/>
      <w:r>
        <w:rPr>
          <w:sz w:val="20"/>
        </w:rPr>
        <w:t>Numer</w:t>
      </w:r>
      <w:proofErr w:type="spellEnd"/>
      <w:r>
        <w:rPr>
          <w:sz w:val="20"/>
        </w:rPr>
        <w:t>. Math. 2012, 20, 251. https://doi.org/10.1515/jnum-2012-0013.</w:t>
      </w:r>
    </w:p>
    <w:p w14:paraId="005599C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[5]</w:t>
      </w:r>
      <w:r>
        <w:rPr>
          <w:sz w:val="20"/>
        </w:rPr>
        <w:tab/>
        <w:t xml:space="preserve">S. </w:t>
      </w:r>
      <w:proofErr w:type="spellStart"/>
      <w:r>
        <w:rPr>
          <w:sz w:val="20"/>
        </w:rPr>
        <w:t>Balay</w:t>
      </w:r>
      <w:proofErr w:type="spellEnd"/>
      <w:r>
        <w:rPr>
          <w:sz w:val="20"/>
        </w:rPr>
        <w:t xml:space="preserve">, S. Abhyankar, M. F. Adams, et al., </w:t>
      </w:r>
      <w:proofErr w:type="spellStart"/>
      <w:r>
        <w:rPr>
          <w:sz w:val="20"/>
        </w:rPr>
        <w:t>PETSc</w:t>
      </w:r>
      <w:proofErr w:type="spellEnd"/>
      <w:r>
        <w:rPr>
          <w:sz w:val="20"/>
        </w:rPr>
        <w:t xml:space="preserve">/TAO </w:t>
      </w:r>
      <w:proofErr w:type="spellStart"/>
      <w:r>
        <w:rPr>
          <w:sz w:val="20"/>
        </w:rPr>
        <w:t>Users Manual</w:t>
      </w:r>
      <w:proofErr w:type="spellEnd"/>
      <w:r>
        <w:rPr>
          <w:sz w:val="20"/>
        </w:rPr>
        <w:t>, Argonne National Laboratory, Lemont, IL, USA 2024, ANL-21/39 (Rev. 3.22). https://petsc.org.</w:t>
      </w:r>
    </w:p>
    <w:p w14:paraId="6EFA0B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[6]</w:t>
      </w:r>
      <w:r>
        <w:rPr>
          <w:sz w:val="20"/>
        </w:rPr>
        <w:tab/>
        <w:t xml:space="preserve">E. Gabriel, G. E. </w:t>
      </w:r>
      <w:proofErr w:type="spellStart"/>
      <w:r>
        <w:rPr>
          <w:sz w:val="20"/>
        </w:rPr>
        <w:t>Fagg</w:t>
      </w:r>
      <w:proofErr w:type="spellEnd"/>
      <w:r>
        <w:rPr>
          <w:sz w:val="20"/>
        </w:rPr>
        <w:t xml:space="preserve">, G. </w:t>
      </w:r>
      <w:proofErr w:type="spellStart"/>
      <w:r>
        <w:rPr>
          <w:sz w:val="20"/>
        </w:rPr>
        <w:t>Bosilca</w:t>
      </w:r>
      <w:proofErr w:type="spellEnd"/>
      <w:r>
        <w:rPr>
          <w:sz w:val="20"/>
        </w:rPr>
        <w:t xml:space="preserve">, et al., in Recent Advances in Parallel Virtual Machine and Message Passing Interface (Eds: D. </w:t>
      </w:r>
      <w:proofErr w:type="spellStart"/>
      <w:r>
        <w:rPr>
          <w:sz w:val="20"/>
        </w:rPr>
        <w:t>Kranzlmüller</w:t>
      </w:r>
      <w:proofErr w:type="spellEnd"/>
      <w:r>
        <w:rPr>
          <w:sz w:val="20"/>
        </w:rPr>
        <w:t xml:space="preserve">, P. </w:t>
      </w:r>
      <w:proofErr w:type="spellStart"/>
      <w:r>
        <w:rPr>
          <w:sz w:val="20"/>
        </w:rPr>
        <w:t>Kacsuk</w:t>
      </w:r>
      <w:proofErr w:type="spellEnd"/>
      <w:r>
        <w:rPr>
          <w:sz w:val="20"/>
        </w:rPr>
        <w:t xml:space="preserve">, J. </w:t>
      </w:r>
      <w:proofErr w:type="spellStart"/>
      <w:r>
        <w:rPr>
          <w:sz w:val="20"/>
        </w:rPr>
        <w:t>Dongarra</w:t>
      </w:r>
      <w:proofErr w:type="spellEnd"/>
      <w:r>
        <w:rPr>
          <w:sz w:val="20"/>
        </w:rPr>
        <w:t>), Springer, Berlin, Heidelberg, Germany 2004, pp. 97–104. https://doi.org/10.1007/978-3-540-30218-6_19.</w:t>
      </w:r>
    </w:p>
    <w:p w14:paraId="0995A9D9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[7]</w:t>
      </w:r>
      <w:r>
        <w:rPr>
          <w:sz w:val="20"/>
        </w:rPr>
        <w:tab/>
        <w:t>J. A. Sethian, Proc. Natl. Acad. Sci. USA 1996, 93, 1591. https://doi.org/10.1073/pnas.93.4.1591.</w:t>
      </w:r>
    </w:p>
    <w:p w14:paraId="4DA1A9BF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[8]</w:t>
      </w:r>
      <w:r>
        <w:rPr>
          <w:sz w:val="20"/>
        </w:rPr>
        <w:tab/>
        <w:t xml:space="preserve">S. van der Walt, J. L. </w:t>
      </w:r>
      <w:proofErr w:type="spellStart"/>
      <w:r>
        <w:rPr>
          <w:sz w:val="20"/>
        </w:rPr>
        <w:t>Schönberger</w:t>
      </w:r>
      <w:proofErr w:type="spellEnd"/>
      <w:r>
        <w:rPr>
          <w:sz w:val="20"/>
        </w:rPr>
        <w:t xml:space="preserve">, J. Nunez-Iglesias, et al., </w:t>
      </w:r>
      <w:proofErr w:type="spellStart"/>
      <w:r>
        <w:rPr>
          <w:sz w:val="20"/>
        </w:rPr>
        <w:t>PeerJ</w:t>
      </w:r>
      <w:proofErr w:type="spellEnd"/>
      <w:r>
        <w:rPr>
          <w:sz w:val="20"/>
        </w:rPr>
        <w:t xml:space="preserve"> 2014, 2, e453. https://doi.org/10.7717/peerj.453.</w:t>
      </w:r>
    </w:p>
    <w:p w14:paraId="4DF9DBE7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[9]</w:t>
      </w:r>
      <w:r>
        <w:rPr>
          <w:sz w:val="20"/>
        </w:rPr>
        <w:tab/>
        <w:t xml:space="preserve">M. Dawson-Haggerty, et al., </w:t>
      </w:r>
      <w:proofErr w:type="spellStart"/>
      <w:r>
        <w:rPr>
          <w:sz w:val="20"/>
        </w:rPr>
        <w:t>trimesh</w:t>
      </w:r>
      <w:proofErr w:type="spellEnd"/>
      <w:r>
        <w:rPr>
          <w:sz w:val="20"/>
        </w:rPr>
        <w:t>, https://trimesh.org (accessed: October 2026).</w:t>
      </w:r>
    </w:p>
    <w:p w14:paraId="05760CC1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[10]</w:t>
      </w:r>
      <w:r>
        <w:rPr>
          <w:sz w:val="20"/>
        </w:rPr>
        <w:tab/>
        <w:t xml:space="preserve">N. </w:t>
      </w:r>
      <w:proofErr w:type="spellStart"/>
      <w:r>
        <w:rPr>
          <w:sz w:val="20"/>
        </w:rPr>
        <w:t>Schlömer</w:t>
      </w:r>
      <w:proofErr w:type="spellEnd"/>
      <w:r>
        <w:rPr>
          <w:sz w:val="20"/>
        </w:rPr>
        <w:t xml:space="preserve">, et al., </w:t>
      </w:r>
      <w:proofErr w:type="spellStart"/>
      <w:r>
        <w:rPr>
          <w:sz w:val="20"/>
        </w:rPr>
        <w:t>meshio</w:t>
      </w:r>
      <w:proofErr w:type="spellEnd"/>
      <w:r>
        <w:rPr>
          <w:sz w:val="20"/>
        </w:rPr>
        <w:t>: Tools for mesh files, https://doi.org/10.5281/zenodo.1173115.</w:t>
      </w:r>
    </w:p>
    <w:p w14:paraId="1CD407CE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[11]</w:t>
      </w:r>
      <w:r>
        <w:rPr>
          <w:sz w:val="20"/>
        </w:rPr>
        <w:tab/>
        <w:t xml:space="preserve">P. Virtanen, R. </w:t>
      </w:r>
      <w:proofErr w:type="spellStart"/>
      <w:r>
        <w:rPr>
          <w:sz w:val="20"/>
        </w:rPr>
        <w:t>Gommers</w:t>
      </w:r>
      <w:proofErr w:type="spellEnd"/>
      <w:r>
        <w:rPr>
          <w:sz w:val="20"/>
        </w:rPr>
        <w:t>, T. E. Oliphant, et al., Nat. Methods 2020, 17, 261. https://doi.org/10.1038/s41592-019-0686-2.</w:t>
      </w:r>
    </w:p>
    <w:p w14:paraId="0D3C2C73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[12]</w:t>
      </w:r>
      <w:r>
        <w:rPr>
          <w:sz w:val="20"/>
        </w:rPr>
        <w:tab/>
        <w:t xml:space="preserve">J. D. Hunter, </w:t>
      </w:r>
      <w:proofErr w:type="spellStart"/>
      <w:r>
        <w:rPr>
          <w:sz w:val="20"/>
        </w:rPr>
        <w:t>Comput</w:t>
      </w:r>
      <w:proofErr w:type="spellEnd"/>
      <w:r>
        <w:rPr>
          <w:sz w:val="20"/>
        </w:rPr>
        <w:t>. Sci. Eng. 2007, 9, 90. https://doi.org/10.1109/MCSE.2007.55.</w:t>
      </w:r>
    </w:p>
    <w:p w14:paraId="5881FD9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[13]</w:t>
      </w:r>
      <w:r>
        <w:rPr>
          <w:sz w:val="20"/>
        </w:rPr>
        <w:tab/>
        <w:t xml:space="preserve">J. Ahrens, B. </w:t>
      </w:r>
      <w:proofErr w:type="spellStart"/>
      <w:r>
        <w:rPr>
          <w:sz w:val="20"/>
        </w:rPr>
        <w:t>Geveci</w:t>
      </w:r>
      <w:proofErr w:type="spellEnd"/>
      <w:r>
        <w:rPr>
          <w:sz w:val="20"/>
        </w:rPr>
        <w:t>, C. Law, in The Visualization Handbook (Eds: C. D. Hansen, C. R. Johnson), Elsevier, Amsterdam, The Netherlands 2005, pp. 717–731.</w:t>
      </w:r>
    </w:p>
    <w:p w14:paraId="0DEB2E9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[14]</w:t>
      </w:r>
      <w:r>
        <w:rPr>
          <w:sz w:val="20"/>
        </w:rPr>
        <w:tab/>
        <w:t xml:space="preserve">M. D. Morris, </w:t>
      </w:r>
      <w:proofErr w:type="spellStart"/>
      <w:r>
        <w:rPr>
          <w:sz w:val="20"/>
        </w:rPr>
        <w:t>Technometrics</w:t>
      </w:r>
      <w:proofErr w:type="spellEnd"/>
      <w:r>
        <w:rPr>
          <w:sz w:val="20"/>
        </w:rPr>
        <w:t xml:space="preserve"> 1991, 33, 161. https://doi.org/10.1080/00401706.1991.10484804.</w:t>
      </w:r>
    </w:p>
    <w:p w14:paraId="1267972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[15]</w:t>
      </w:r>
      <w:r>
        <w:rPr>
          <w:sz w:val="20"/>
        </w:rPr>
        <w:tab/>
        <w:t xml:space="preserve">J. Herman, W. Usher, J. Open Source </w:t>
      </w:r>
      <w:proofErr w:type="spellStart"/>
      <w:r>
        <w:rPr>
          <w:sz w:val="20"/>
        </w:rPr>
        <w:t>Softw</w:t>
      </w:r>
      <w:proofErr w:type="spellEnd"/>
      <w:r>
        <w:rPr>
          <w:sz w:val="20"/>
        </w:rPr>
        <w:t>. 2017, 2, 97. https://doi.org/10.21105/joss.00097.</w:t>
      </w:r>
    </w:p>
    <w:p w14:paraId="2B1D5D8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[16]</w:t>
      </w:r>
      <w:r>
        <w:rPr>
          <w:sz w:val="20"/>
        </w:rPr>
        <w:tab/>
        <w:t>C. E. Rasmussen, C. K. I. Williams, Gaussian Processes for Machine Learning, MIT Press, Cambridge, MA, USA 2006.</w:t>
      </w:r>
    </w:p>
    <w:p w14:paraId="209AA32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[17]</w:t>
      </w:r>
      <w:r>
        <w:rPr>
          <w:sz w:val="20"/>
        </w:rPr>
        <w:tab/>
        <w:t xml:space="preserve">D. R. Jones, M. </w:t>
      </w:r>
      <w:proofErr w:type="spellStart"/>
      <w:r>
        <w:rPr>
          <w:sz w:val="20"/>
        </w:rPr>
        <w:t>Schonlau</w:t>
      </w:r>
      <w:proofErr w:type="spellEnd"/>
      <w:r>
        <w:rPr>
          <w:sz w:val="20"/>
        </w:rPr>
        <w:t xml:space="preserve">, W. J. Welch, J. Glob. </w:t>
      </w:r>
      <w:proofErr w:type="spellStart"/>
      <w:r>
        <w:rPr>
          <w:sz w:val="20"/>
        </w:rPr>
        <w:t>Optim</w:t>
      </w:r>
      <w:proofErr w:type="spellEnd"/>
      <w:r>
        <w:rPr>
          <w:sz w:val="20"/>
        </w:rPr>
        <w:t>. 1998, 13, 455. https://doi.org/10.1023/A:1008306431147.</w:t>
      </w:r>
    </w:p>
    <w:p w14:paraId="67728442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[18]</w:t>
      </w:r>
      <w:r>
        <w:rPr>
          <w:sz w:val="20"/>
        </w:rPr>
        <w:tab/>
        <w:t xml:space="preserve">M. D. McKay, R. J. Beckman, W. J. Conover, </w:t>
      </w:r>
      <w:proofErr w:type="spellStart"/>
      <w:r>
        <w:rPr>
          <w:sz w:val="20"/>
        </w:rPr>
        <w:t>Technometrics</w:t>
      </w:r>
      <w:proofErr w:type="spellEnd"/>
      <w:r>
        <w:rPr>
          <w:sz w:val="20"/>
        </w:rPr>
        <w:t xml:space="preserve"> 1979, 21, 239. https://doi.org/10.1080/00401706.1979.10489755.</w:t>
      </w:r>
    </w:p>
    <w:p w14:paraId="2F48B7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[19]</w:t>
      </w:r>
      <w:r>
        <w:rPr>
          <w:sz w:val="20"/>
        </w:rPr>
        <w:tab/>
        <w:t xml:space="preserve">L. Liu, Y. Meng, C. Dong, Y. Yan, A. A. </w:t>
      </w:r>
      <w:proofErr w:type="spellStart"/>
      <w:r>
        <w:rPr>
          <w:sz w:val="20"/>
        </w:rPr>
        <w:t>Volinsky</w:t>
      </w:r>
      <w:proofErr w:type="spellEnd"/>
      <w:r>
        <w:rPr>
          <w:sz w:val="20"/>
        </w:rPr>
        <w:t>, L.-N. Wang, J. Mater. Sci. Technol. 2018, 34, 2271. https://doi.org/10.1016/j.jmst.2018.05.005.</w:t>
      </w:r>
    </w:p>
    <w:sectPr w:rsidR="005639C1">
      <w:footerReference w:type="defaul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603B4D" w14:textId="77777777" w:rsidR="009E3506" w:rsidRDefault="009E3506">
      <w:pPr>
        <w:spacing w:line="240" w:lineRule="auto"/>
      </w:pPr>
      <w:r>
        <w:separator/>
      </w:r>
    </w:p>
  </w:endnote>
  <w:endnote w:type="continuationSeparator" w:id="0">
    <w:p w14:paraId="4E983597" w14:textId="77777777" w:rsidR="009E3506" w:rsidRDefault="009E350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4C176E" w14:textId="77777777" w:rsidR="005639C1" w:rsidRDefault="007163D0">
    <w:pPr>
      <w:jc w:val="center"/>
    </w:pPr>
    <w:r>
      <w:rPr>
        <w:sz w:val="20"/>
      </w:rPr>
      <w:t>S-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EE8D46" w14:textId="77777777" w:rsidR="009E3506" w:rsidRDefault="009E3506">
      <w:pPr>
        <w:spacing w:line="240" w:lineRule="auto"/>
      </w:pPr>
      <w:r>
        <w:separator/>
      </w:r>
    </w:p>
  </w:footnote>
  <w:footnote w:type="continuationSeparator" w:id="0">
    <w:p w14:paraId="46003DD7" w14:textId="77777777" w:rsidR="009E3506" w:rsidRDefault="009E350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830BF"/>
    <w:multiLevelType w:val="multilevel"/>
    <w:tmpl w:val="4D7045B8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143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0C2D12"/>
    <w:multiLevelType w:val="multilevel"/>
    <w:tmpl w:val="96D6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651775"/>
    <w:multiLevelType w:val="multilevel"/>
    <w:tmpl w:val="4B58D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DF0766"/>
    <w:multiLevelType w:val="multilevel"/>
    <w:tmpl w:val="E74C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0D6BEE"/>
    <w:multiLevelType w:val="multilevel"/>
    <w:tmpl w:val="BA10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DD1E17"/>
    <w:multiLevelType w:val="hybridMultilevel"/>
    <w:tmpl w:val="D70A42B6"/>
    <w:lvl w:ilvl="0" w:tplc="1CDA4112">
      <w:start w:val="1"/>
      <w:numFmt w:val="decimal"/>
      <w:lvlText w:val="S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6C31542"/>
    <w:multiLevelType w:val="multilevel"/>
    <w:tmpl w:val="8B7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1"/>
  </w:num>
  <w:num w:numId="5">
    <w:abstractNumId w:val="3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A60"/>
    <w:rsid w:val="00016474"/>
    <w:rsid w:val="000212DA"/>
    <w:rsid w:val="000274B9"/>
    <w:rsid w:val="00033E95"/>
    <w:rsid w:val="00061ADC"/>
    <w:rsid w:val="000640D5"/>
    <w:rsid w:val="00065991"/>
    <w:rsid w:val="0008176F"/>
    <w:rsid w:val="000A0BAF"/>
    <w:rsid w:val="000D6156"/>
    <w:rsid w:val="000F3E63"/>
    <w:rsid w:val="00120614"/>
    <w:rsid w:val="00143427"/>
    <w:rsid w:val="00151F4E"/>
    <w:rsid w:val="00156A8A"/>
    <w:rsid w:val="00171E50"/>
    <w:rsid w:val="0017409B"/>
    <w:rsid w:val="00176FEF"/>
    <w:rsid w:val="00197311"/>
    <w:rsid w:val="001B543E"/>
    <w:rsid w:val="001B645C"/>
    <w:rsid w:val="001C0510"/>
    <w:rsid w:val="001D3A0A"/>
    <w:rsid w:val="001E445B"/>
    <w:rsid w:val="001F71E2"/>
    <w:rsid w:val="0021293D"/>
    <w:rsid w:val="00212BA4"/>
    <w:rsid w:val="002536C8"/>
    <w:rsid w:val="002544FE"/>
    <w:rsid w:val="002634AA"/>
    <w:rsid w:val="00263E3F"/>
    <w:rsid w:val="002874E3"/>
    <w:rsid w:val="002B66F0"/>
    <w:rsid w:val="002C2EAD"/>
    <w:rsid w:val="002C4E1B"/>
    <w:rsid w:val="002E6F74"/>
    <w:rsid w:val="003046E8"/>
    <w:rsid w:val="00332F6F"/>
    <w:rsid w:val="003347F2"/>
    <w:rsid w:val="00340C4A"/>
    <w:rsid w:val="003551B2"/>
    <w:rsid w:val="00357694"/>
    <w:rsid w:val="0037585E"/>
    <w:rsid w:val="00377A22"/>
    <w:rsid w:val="003933A3"/>
    <w:rsid w:val="0039482A"/>
    <w:rsid w:val="003976E7"/>
    <w:rsid w:val="003A0691"/>
    <w:rsid w:val="003A2481"/>
    <w:rsid w:val="003A6B98"/>
    <w:rsid w:val="003A718A"/>
    <w:rsid w:val="003B1370"/>
    <w:rsid w:val="003B1F91"/>
    <w:rsid w:val="003B3A6A"/>
    <w:rsid w:val="003C2230"/>
    <w:rsid w:val="003C38E8"/>
    <w:rsid w:val="003D0775"/>
    <w:rsid w:val="003D0986"/>
    <w:rsid w:val="003E33BB"/>
    <w:rsid w:val="003E77C2"/>
    <w:rsid w:val="003F27AC"/>
    <w:rsid w:val="0040386B"/>
    <w:rsid w:val="00405F70"/>
    <w:rsid w:val="00430123"/>
    <w:rsid w:val="0043219B"/>
    <w:rsid w:val="00457C34"/>
    <w:rsid w:val="00461D9B"/>
    <w:rsid w:val="0046313A"/>
    <w:rsid w:val="00463432"/>
    <w:rsid w:val="004961AD"/>
    <w:rsid w:val="00496CE8"/>
    <w:rsid w:val="004A092A"/>
    <w:rsid w:val="004C71FA"/>
    <w:rsid w:val="004E0F0C"/>
    <w:rsid w:val="004E2C27"/>
    <w:rsid w:val="004E2E7F"/>
    <w:rsid w:val="00507103"/>
    <w:rsid w:val="00520306"/>
    <w:rsid w:val="00540DBD"/>
    <w:rsid w:val="00542C5D"/>
    <w:rsid w:val="00552E50"/>
    <w:rsid w:val="005534CF"/>
    <w:rsid w:val="00554D08"/>
    <w:rsid w:val="00562126"/>
    <w:rsid w:val="005639C1"/>
    <w:rsid w:val="005661E2"/>
    <w:rsid w:val="0057360E"/>
    <w:rsid w:val="0059217C"/>
    <w:rsid w:val="005949E8"/>
    <w:rsid w:val="005B6B31"/>
    <w:rsid w:val="005C6774"/>
    <w:rsid w:val="005D7783"/>
    <w:rsid w:val="005D7A85"/>
    <w:rsid w:val="005E40E9"/>
    <w:rsid w:val="005F036F"/>
    <w:rsid w:val="005F4719"/>
    <w:rsid w:val="00630707"/>
    <w:rsid w:val="0063194E"/>
    <w:rsid w:val="006420AD"/>
    <w:rsid w:val="00670A5B"/>
    <w:rsid w:val="006A523B"/>
    <w:rsid w:val="006B3F58"/>
    <w:rsid w:val="006B6A1E"/>
    <w:rsid w:val="006D5290"/>
    <w:rsid w:val="006D579C"/>
    <w:rsid w:val="006E5AA4"/>
    <w:rsid w:val="007125DF"/>
    <w:rsid w:val="007163D0"/>
    <w:rsid w:val="00743306"/>
    <w:rsid w:val="00762CF8"/>
    <w:rsid w:val="007630D0"/>
    <w:rsid w:val="00770A7E"/>
    <w:rsid w:val="00772BA4"/>
    <w:rsid w:val="00785162"/>
    <w:rsid w:val="00795191"/>
    <w:rsid w:val="007A0337"/>
    <w:rsid w:val="007C2EBC"/>
    <w:rsid w:val="007C5488"/>
    <w:rsid w:val="007D1780"/>
    <w:rsid w:val="007E02D8"/>
    <w:rsid w:val="007E1315"/>
    <w:rsid w:val="007E2F54"/>
    <w:rsid w:val="007F6826"/>
    <w:rsid w:val="00810930"/>
    <w:rsid w:val="008276EC"/>
    <w:rsid w:val="00835703"/>
    <w:rsid w:val="008431F7"/>
    <w:rsid w:val="00860DF3"/>
    <w:rsid w:val="00876655"/>
    <w:rsid w:val="008920DE"/>
    <w:rsid w:val="00897B3B"/>
    <w:rsid w:val="00897BCE"/>
    <w:rsid w:val="00907ED2"/>
    <w:rsid w:val="00913FEC"/>
    <w:rsid w:val="00916279"/>
    <w:rsid w:val="00954DC2"/>
    <w:rsid w:val="00965592"/>
    <w:rsid w:val="009664CB"/>
    <w:rsid w:val="0097280D"/>
    <w:rsid w:val="009865B2"/>
    <w:rsid w:val="009A33EE"/>
    <w:rsid w:val="009A7EBF"/>
    <w:rsid w:val="009B05C1"/>
    <w:rsid w:val="009C2673"/>
    <w:rsid w:val="009D3074"/>
    <w:rsid w:val="009E1C9F"/>
    <w:rsid w:val="009E3506"/>
    <w:rsid w:val="009E3F03"/>
    <w:rsid w:val="009F37E1"/>
    <w:rsid w:val="00A01E38"/>
    <w:rsid w:val="00A26FEC"/>
    <w:rsid w:val="00A53676"/>
    <w:rsid w:val="00A753B7"/>
    <w:rsid w:val="00A84096"/>
    <w:rsid w:val="00AA7E3B"/>
    <w:rsid w:val="00AB5E39"/>
    <w:rsid w:val="00AC4589"/>
    <w:rsid w:val="00AC5C05"/>
    <w:rsid w:val="00AC712C"/>
    <w:rsid w:val="00AD7A8C"/>
    <w:rsid w:val="00B02C93"/>
    <w:rsid w:val="00B05A31"/>
    <w:rsid w:val="00B21B91"/>
    <w:rsid w:val="00B21DB1"/>
    <w:rsid w:val="00B232B9"/>
    <w:rsid w:val="00B30B0E"/>
    <w:rsid w:val="00B35ED8"/>
    <w:rsid w:val="00B52DBD"/>
    <w:rsid w:val="00B5514D"/>
    <w:rsid w:val="00B71980"/>
    <w:rsid w:val="00B745C1"/>
    <w:rsid w:val="00B9579D"/>
    <w:rsid w:val="00B95AFF"/>
    <w:rsid w:val="00B97A60"/>
    <w:rsid w:val="00BA7F0B"/>
    <w:rsid w:val="00BE6B79"/>
    <w:rsid w:val="00BF2EE4"/>
    <w:rsid w:val="00BF5111"/>
    <w:rsid w:val="00BF5D47"/>
    <w:rsid w:val="00C03B3D"/>
    <w:rsid w:val="00C10891"/>
    <w:rsid w:val="00C34D88"/>
    <w:rsid w:val="00C55847"/>
    <w:rsid w:val="00C742A1"/>
    <w:rsid w:val="00C82396"/>
    <w:rsid w:val="00CA2019"/>
    <w:rsid w:val="00CC423B"/>
    <w:rsid w:val="00CE43D4"/>
    <w:rsid w:val="00CE4FFD"/>
    <w:rsid w:val="00CE77CA"/>
    <w:rsid w:val="00D02AA3"/>
    <w:rsid w:val="00D05721"/>
    <w:rsid w:val="00D175AE"/>
    <w:rsid w:val="00D37C5A"/>
    <w:rsid w:val="00D4195E"/>
    <w:rsid w:val="00D44DB7"/>
    <w:rsid w:val="00D45790"/>
    <w:rsid w:val="00D50C40"/>
    <w:rsid w:val="00D52386"/>
    <w:rsid w:val="00D607D1"/>
    <w:rsid w:val="00D664E5"/>
    <w:rsid w:val="00D80D58"/>
    <w:rsid w:val="00D81273"/>
    <w:rsid w:val="00D81AA4"/>
    <w:rsid w:val="00D860BF"/>
    <w:rsid w:val="00DA0507"/>
    <w:rsid w:val="00DB5548"/>
    <w:rsid w:val="00DB6AAA"/>
    <w:rsid w:val="00DF541F"/>
    <w:rsid w:val="00DF756F"/>
    <w:rsid w:val="00E05935"/>
    <w:rsid w:val="00E26E6E"/>
    <w:rsid w:val="00E27337"/>
    <w:rsid w:val="00E60AA3"/>
    <w:rsid w:val="00E61595"/>
    <w:rsid w:val="00E61B2C"/>
    <w:rsid w:val="00E719B9"/>
    <w:rsid w:val="00E730F4"/>
    <w:rsid w:val="00EA180F"/>
    <w:rsid w:val="00EC20EE"/>
    <w:rsid w:val="00ED14A2"/>
    <w:rsid w:val="00F07903"/>
    <w:rsid w:val="00F121A4"/>
    <w:rsid w:val="00F164F0"/>
    <w:rsid w:val="00F1686F"/>
    <w:rsid w:val="00F2726F"/>
    <w:rsid w:val="00F36A97"/>
    <w:rsid w:val="00F45B2F"/>
    <w:rsid w:val="00F50DE0"/>
    <w:rsid w:val="00F67414"/>
    <w:rsid w:val="00F949EB"/>
    <w:rsid w:val="00F95798"/>
    <w:rsid w:val="00FA2E62"/>
    <w:rsid w:val="00FA4B00"/>
    <w:rsid w:val="00FA50F1"/>
    <w:rsid w:val="00FD0272"/>
    <w:rsid w:val="00FD3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5AA1D"/>
  <w15:chartTrackingRefBased/>
  <w15:docId w15:val="{367FC8E8-7853-44EB-9BBB-A8A73BF6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A60"/>
    <w:pPr>
      <w:spacing w:after="0" w:line="360" w:lineRule="auto"/>
      <w:ind w:firstLine="360"/>
      <w:jc w:val="both"/>
    </w:pPr>
    <w:rPr>
      <w:rFonts w:ascii="Times New Roman" w:eastAsia="Times New Roman" w:hAnsi="Times New Roman"/>
      <w:sz w:val="24"/>
      <w:szCs w:val="24"/>
      <w:lang w:eastAsia="zh-C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BE6B79"/>
    <w:pPr>
      <w:keepNext/>
      <w:keepLines/>
      <w:spacing w:before="320" w:after="120"/>
      <w:ind w:left="432" w:hanging="432"/>
      <w:jc w:val="left"/>
      <w:outlineLvl w:val="0"/>
    </w:pPr>
    <w:rPr>
      <w:rFonts w:cs="Times New Roman"/>
      <w:b/>
      <w:color w:val="00000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B35ED8"/>
    <w:pPr>
      <w:keepNext/>
      <w:keepLines/>
      <w:spacing w:before="240" w:after="80"/>
      <w:ind w:left="360" w:hanging="360"/>
      <w:jc w:val="left"/>
      <w:outlineLvl w:val="1"/>
    </w:pPr>
    <w:rPr>
      <w:rFonts w:cs="Times New Roman"/>
      <w:b/>
      <w:color w:val="00000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B97A60"/>
    <w:pPr>
      <w:keepNext/>
      <w:keepLines/>
      <w:numPr>
        <w:ilvl w:val="2"/>
        <w:numId w:val="1"/>
      </w:numPr>
      <w:spacing w:before="280" w:after="120"/>
      <w:jc w:val="left"/>
      <w:outlineLvl w:val="2"/>
    </w:pPr>
    <w:rPr>
      <w:rFonts w:eastAsiaTheme="majorEastAsia" w:cstheme="majorBidi"/>
      <w:b/>
      <w:color w:val="000000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AA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97A60"/>
  </w:style>
  <w:style w:type="character" w:customStyle="1" w:styleId="BodyTextChar">
    <w:name w:val="Body Text Char"/>
    <w:basedOn w:val="DefaultParagraphFont"/>
    <w:link w:val="BodyText"/>
    <w:rsid w:val="00B97A60"/>
    <w:rPr>
      <w:rFonts w:ascii="Times New Roman" w:eastAsia="Times New Roman" w:hAnsi="Times New Roman"/>
      <w:sz w:val="24"/>
      <w:szCs w:val="24"/>
      <w:lang w:eastAsia="zh-CN"/>
    </w:rPr>
  </w:style>
  <w:style w:type="paragraph" w:styleId="Title">
    <w:name w:val="Title"/>
    <w:basedOn w:val="Normal"/>
    <w:next w:val="BodyText"/>
    <w:link w:val="TitleChar"/>
    <w:uiPriority w:val="10"/>
    <w:qFormat/>
    <w:rsid w:val="00B97A60"/>
    <w:pPr>
      <w:spacing w:after="240" w:line="240" w:lineRule="auto"/>
      <w:contextualSpacing/>
      <w:jc w:val="center"/>
    </w:pPr>
    <w:rPr>
      <w:rFonts w:asciiTheme="majorHAnsi" w:eastAsiaTheme="majorEastAsia" w:hAnsiTheme="majorHAnsi" w:cstheme="majorBidi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A60"/>
    <w:rPr>
      <w:rFonts w:asciiTheme="majorHAnsi" w:eastAsiaTheme="majorEastAsia" w:hAnsiTheme="majorHAnsi" w:cstheme="majorBidi"/>
      <w:sz w:val="36"/>
      <w:szCs w:val="56"/>
      <w:lang w:eastAsia="zh-CN"/>
    </w:rPr>
  </w:style>
  <w:style w:type="paragraph" w:customStyle="1" w:styleId="AbstractTitle">
    <w:name w:val="Abstract Title"/>
    <w:basedOn w:val="Normal"/>
    <w:next w:val="Abstract"/>
    <w:qFormat/>
    <w:rsid w:val="00B97A60"/>
    <w:pPr>
      <w:keepNext/>
      <w:keepLines/>
      <w:spacing w:before="240" w:after="120"/>
      <w:jc w:val="center"/>
    </w:pPr>
    <w:rPr>
      <w:b/>
      <w:color w:val="000000"/>
      <w:szCs w:val="20"/>
    </w:rPr>
  </w:style>
  <w:style w:type="paragraph" w:customStyle="1" w:styleId="Abstract">
    <w:name w:val="Abstract"/>
    <w:basedOn w:val="Normal"/>
    <w:next w:val="BodyText"/>
    <w:qFormat/>
    <w:rsid w:val="00B97A60"/>
    <w:pPr>
      <w:keepNext/>
      <w:keepLines/>
      <w:spacing w:before="100" w:after="300" w:line="276" w:lineRule="auto"/>
      <w:ind w:firstLine="0"/>
    </w:pPr>
    <w:rPr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E6B79"/>
    <w:rPr>
      <w:rFonts w:ascii="Times New Roman" w:eastAsiaTheme="majorEastAsia" w:hAnsi="Times New Roman" w:cs="Times New Roman"/>
      <w:b/>
      <w:sz w:val="28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B35ED8"/>
    <w:rPr>
      <w:rFonts w:ascii="Times New Roman" w:eastAsiaTheme="majorEastAsia" w:hAnsi="Times New Roman" w:cs="Times New Roman"/>
      <w:b/>
      <w:color w:val="000000"/>
      <w:sz w:val="24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A60"/>
    <w:rPr>
      <w:rFonts w:ascii="Times New Roman" w:eastAsiaTheme="majorEastAsia" w:hAnsi="Times New Roman" w:cstheme="majorBidi"/>
      <w:b/>
      <w:color w:val="000000"/>
      <w:sz w:val="24"/>
      <w:szCs w:val="28"/>
      <w:lang w:eastAsia="zh-CN"/>
    </w:rPr>
  </w:style>
  <w:style w:type="paragraph" w:customStyle="1" w:styleId="FirstParagraph">
    <w:name w:val="First Paragraph"/>
    <w:basedOn w:val="BodyText"/>
    <w:next w:val="BodyText"/>
    <w:qFormat/>
    <w:rsid w:val="00B97A60"/>
    <w:pPr>
      <w:ind w:firstLine="0"/>
    </w:pPr>
  </w:style>
  <w:style w:type="paragraph" w:customStyle="1" w:styleId="CaptionedFigure">
    <w:name w:val="Captioned Figure"/>
    <w:basedOn w:val="Normal"/>
    <w:rsid w:val="00B97A60"/>
    <w:pPr>
      <w:keepNext/>
    </w:pPr>
  </w:style>
  <w:style w:type="character" w:styleId="Hyperlink">
    <w:name w:val="Hyperlink"/>
    <w:basedOn w:val="DefaultParagraphFont"/>
    <w:rsid w:val="00B97A60"/>
    <w:rPr>
      <w:color w:val="4472C4" w:themeColor="accent1"/>
    </w:rPr>
  </w:style>
  <w:style w:type="paragraph" w:customStyle="1" w:styleId="Captions">
    <w:name w:val="Captions"/>
    <w:basedOn w:val="Caption"/>
    <w:link w:val="CaptionsChar"/>
    <w:qFormat/>
    <w:rsid w:val="0037585E"/>
    <w:pPr>
      <w:spacing w:after="120"/>
      <w:ind w:firstLine="0"/>
    </w:pPr>
    <w:rPr>
      <w:i w:val="0"/>
      <w:color w:val="auto"/>
      <w:sz w:val="22"/>
      <w:szCs w:val="22"/>
    </w:rPr>
  </w:style>
  <w:style w:type="character" w:customStyle="1" w:styleId="CaptionsChar">
    <w:name w:val="Captions Char"/>
    <w:basedOn w:val="DefaultParagraphFont"/>
    <w:link w:val="Captions"/>
    <w:rsid w:val="0037585E"/>
    <w:rPr>
      <w:rFonts w:ascii="Times New Roman" w:eastAsia="Times New Roman" w:hAnsi="Times New Roman"/>
      <w:iCs/>
      <w:lang w:eastAsia="zh-CN"/>
    </w:rPr>
  </w:style>
  <w:style w:type="paragraph" w:styleId="Caption">
    <w:name w:val="caption"/>
    <w:basedOn w:val="Normal"/>
    <w:next w:val="Normal"/>
    <w:uiPriority w:val="35"/>
    <w:unhideWhenUsed/>
    <w:qFormat/>
    <w:rsid w:val="00B97A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FA2E62"/>
    <w:rPr>
      <w:color w:val="8080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AA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paragraph" w:customStyle="1" w:styleId="Compact">
    <w:name w:val="Compact"/>
    <w:basedOn w:val="BodyText"/>
    <w:qFormat/>
    <w:rsid w:val="00520306"/>
    <w:pPr>
      <w:spacing w:before="36" w:after="36"/>
    </w:pPr>
  </w:style>
  <w:style w:type="paragraph" w:customStyle="1" w:styleId="TableCaption">
    <w:name w:val="Table Caption"/>
    <w:basedOn w:val="Caption"/>
    <w:rsid w:val="00520306"/>
    <w:pPr>
      <w:keepNext/>
      <w:spacing w:after="120" w:line="360" w:lineRule="auto"/>
    </w:pPr>
    <w:rPr>
      <w:iCs w:val="0"/>
      <w:color w:val="auto"/>
      <w:sz w:val="24"/>
      <w:szCs w:val="24"/>
    </w:rPr>
  </w:style>
  <w:style w:type="table" w:styleId="ListTable6Colorful">
    <w:name w:val="List Table 6 Colorful"/>
    <w:basedOn w:val="TableNormal"/>
    <w:uiPriority w:val="51"/>
    <w:rsid w:val="00520306"/>
    <w:pPr>
      <w:spacing w:after="0" w:line="240" w:lineRule="auto"/>
    </w:pPr>
    <w:rPr>
      <w:rFonts w:eastAsiaTheme="minorEastAsia"/>
      <w:color w:val="000000" w:themeColor="text1"/>
      <w:sz w:val="24"/>
      <w:szCs w:val="24"/>
      <w:lang w:eastAsia="zh-CN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B23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35ED8"/>
    <w:rPr>
      <w:rFonts w:cs="Times New Roman"/>
    </w:rPr>
  </w:style>
  <w:style w:type="table" w:styleId="GridTable7Colorful">
    <w:name w:val="Grid Table 7 Colorful"/>
    <w:basedOn w:val="TableNormal"/>
    <w:uiPriority w:val="52"/>
    <w:rsid w:val="00D50C4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paragraph">
    <w:name w:val="paragraph"/>
    <w:basedOn w:val="Normal"/>
    <w:rsid w:val="007E2F54"/>
    <w:pPr>
      <w:spacing w:before="100" w:beforeAutospacing="1" w:after="100" w:afterAutospacing="1" w:line="240" w:lineRule="auto"/>
      <w:ind w:firstLine="0"/>
      <w:jc w:val="left"/>
    </w:pPr>
    <w:rPr>
      <w:rFonts w:cs="Times New Roman"/>
      <w:lang w:eastAsia="en-US"/>
    </w:rPr>
  </w:style>
  <w:style w:type="character" w:customStyle="1" w:styleId="normaltextrun">
    <w:name w:val="normaltextrun"/>
    <w:basedOn w:val="DefaultParagraphFont"/>
    <w:rsid w:val="007E2F54"/>
  </w:style>
  <w:style w:type="character" w:customStyle="1" w:styleId="eop">
    <w:name w:val="eop"/>
    <w:basedOn w:val="DefaultParagraphFont"/>
    <w:rsid w:val="007E2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7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8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2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8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6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9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80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34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7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5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8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85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15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4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8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7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657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20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9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7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5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9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46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6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5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9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0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1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99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1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2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0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2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3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3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1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0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5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6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66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5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1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8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1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2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8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1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3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2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0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5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0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76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5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71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15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018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269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619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56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178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4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1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23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7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346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9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0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8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69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1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5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4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4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7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0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6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9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20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67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9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85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25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3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81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9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8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01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1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1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58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5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04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9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335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1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571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492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806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851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7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07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07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0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7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2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1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85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3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2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9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6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2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34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0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70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78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48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1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9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3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8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83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4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7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8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27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4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4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56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73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78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72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68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2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57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900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16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84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34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255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591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5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9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7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7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8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1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18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872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3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72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8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38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775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0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0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097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316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723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0301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561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9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2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7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8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4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2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5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70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3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4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62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62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8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75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3168</TotalTime>
  <Pages>15</Pages>
  <Words>3041</Words>
  <Characters>17335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20336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Henaka Ariyarathna</dc:creator>
  <cp:keywords/>
  <dc:description/>
  <cp:lastModifiedBy>Henaka Ariyarathna</cp:lastModifiedBy>
  <cp:revision>116</cp:revision>
  <cp:lastPrinted>2026-09-27T22:37:00Z</cp:lastPrinted>
  <dcterms:created xsi:type="dcterms:W3CDTF">2026-09-27T22:41:00Z</dcterms:created>
  <dcterms:modified xsi:type="dcterms:W3CDTF">2026-10-08T23:04:00Z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6a8f9048-39d1-4346-b360-14df827da2a0</vt:lpwstr>
  </property>
  <property fmtid="{D5CDD505-2E9C-101B-9397-08002B2CF9AE}" pid="3" name="ZOTERO_PREF_1">
    <vt:lpwstr>&lt;data data-version="3" zotero-version="9.0.6"&gt;&lt;session id="YgLQi4xL"/&gt;&lt;style id="http://www.zotero.org/styles/bioactive-materials" hasBibliography="1" bibliographyStyleHasBeenSet="0"/&gt;&lt;prefs&gt;&lt;pref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