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w:t>
      </w:r>
      <w:proofErr w:type="gramStart"/>
      <w:r w:rsidRPr="00A60AFE">
        <w:t>observations, and</w:t>
      </w:r>
      <w:proofErr w:type="gramEnd"/>
      <w:r w:rsidRPr="00A60AFE">
        <w:t xml:space="preserve">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8A1F255"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2F52CE" w:rsidRPr="001A2EB4">
        <w:rPr>
          <w:b/>
          <w:bCs/>
        </w:rPr>
        <w:t xml:space="preserve">Figure </w:t>
      </w:r>
      <w:r w:rsidR="002F52CE">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7B7CC8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473CF855"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3510BAF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EF1B66" w14:textId="135DF62D" w:rsidR="00D26518" w:rsidRPr="001A2EB4" w:rsidRDefault="000D2C07" w:rsidP="00356611">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together with the corrosion-product concentration</w:t>
      </w:r>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w:t>
      </w:r>
      <w:r w:rsidR="00356611">
        <w:t xml:space="preserve"> </w:t>
      </w:r>
      <w:r w:rsidR="00D26518" w:rsidRPr="001A2EB4">
        <w:t>The oxygen-reduction (ORR) molar flux at the interface is defined as</w:t>
      </w:r>
    </w:p>
    <w:p w14:paraId="7CC44FBB" w14:textId="77777777" w:rsidR="00D26518" w:rsidRPr="001A2EB4" w:rsidRDefault="00000000" w:rsidP="00D1626D">
      <w:pPr>
        <w:pStyle w:val="BodyText"/>
      </w:pPr>
      <m:oMathPara>
        <m:oMath>
          <m:sSub>
            <m:sSubPr>
              <m:ctrlPr>
                <w:rPr>
                  <w:rFonts w:ascii="Cambria Math" w:hAnsi="Cambria Math"/>
                </w:rPr>
              </m:ctrlPr>
            </m:sSubPr>
            <m:e>
              <m:r>
                <w:rPr>
                  <w:rFonts w:ascii="Cambria Math" w:hAnsi="Cambria Math"/>
                </w:rPr>
                <m:t>j</m:t>
              </m:r>
            </m:e>
            <m:sub>
              <m:r>
                <w:rPr>
                  <w:rFonts w:ascii="Cambria Math" w:hAnsi="Cambria Math"/>
                </w:rPr>
                <m:t>ORR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r>
            <w:rPr>
              <w:rFonts w:ascii="Cambria Math" w:hAnsi="Cambria Math"/>
            </w:rPr>
            <m:t>|Γ [mol mm⁻² h⁻¹]</m:t>
          </m:r>
        </m:oMath>
      </m:oMathPara>
    </w:p>
    <w:p w14:paraId="29844E44" w14:textId="77777777" w:rsidR="00D26518" w:rsidRPr="001A2EB4" w:rsidRDefault="00D26518" w:rsidP="00356611">
      <w:pPr>
        <w:pStyle w:val="BodyText"/>
        <w:ind w:firstLine="0"/>
      </w:pPr>
      <w:r w:rsidRPr="001A2EB4">
        <w:t>where k</w:t>
      </w:r>
      <w:r w:rsidRPr="001A2EB4">
        <w:rPr>
          <w:vertAlign w:val="subscript"/>
        </w:rPr>
        <w:t>ORR</w:t>
      </w:r>
      <w:r w:rsidRPr="001A2EB4">
        <w:t xml:space="preserve"> is a velocity (mm h⁻¹) and C</w:t>
      </w:r>
      <w:r w:rsidRPr="001A2EB4">
        <w:rPr>
          <w:vertAlign w:val="subscript"/>
        </w:rPr>
        <w:t>O2</w:t>
      </w:r>
      <w:r w:rsidRPr="001A2EB4">
        <w:t>|</w:t>
      </w:r>
      <w:r w:rsidRPr="001A2EB4">
        <w:rPr>
          <w:vertAlign w:val="subscript"/>
        </w:rPr>
        <w:t>Γ</w:t>
      </w:r>
      <w:r w:rsidRPr="001A2EB4">
        <w:t xml:space="preserve"> is the interfacial oxygen concentration.</w:t>
      </w:r>
    </w:p>
    <w:p w14:paraId="42144BD5" w14:textId="695D62F6"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537F75A" w:rsidR="00424107" w:rsidRPr="001A2EB4" w:rsidRDefault="004833E0" w:rsidP="00424107">
      <w:pPr>
        <w:pStyle w:val="BodyText"/>
        <w:ind w:firstLine="0"/>
        <w:rPr>
          <w:rFonts w:cs="Times New Roman"/>
        </w:rPr>
      </w:pPr>
      <w:r w:rsidRPr="004833E0">
        <w:rPr>
          <w:rFonts w:cs="Times New Roman"/>
        </w:rPr>
        <w:t xml:space="preserve">where </w:t>
      </w:r>
      <w:proofErr w:type="spellStart"/>
      <w:r w:rsidRPr="004833E0">
        <w:rPr>
          <w:rFonts w:cs="Times New Roman"/>
        </w:rPr>
        <w:t>δ</w:t>
      </w:r>
      <w:r w:rsidRPr="004833E0">
        <w:rPr>
          <w:rFonts w:cs="Times New Roman"/>
          <w:vertAlign w:val="subscript"/>
        </w:rPr>
        <w:t>Γ</w:t>
      </w:r>
      <w:proofErr w:type="spellEnd"/>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Chloride acts as a catalytic species, regenerated during film breakdown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02D5D2BA"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Zn</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Zn</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)+2</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∂t</m:t>
            </m:r>
          </m:den>
        </m:f>
      </m:oMath>
      <w:r w:rsidR="00424107" w:rsidRPr="001A2EB4">
        <w:rPr>
          <w:rFonts w:cs="Times New Roman"/>
        </w:rPr>
        <w:tab/>
        <w:t>(</w:t>
      </w:r>
      <w:r w:rsidR="009F4B7F">
        <w:rPr>
          <w:rFonts w:cs="Times New Roman"/>
        </w:rPr>
        <w:t>9</w:t>
      </w:r>
      <w:r w:rsidR="00424107" w:rsidRPr="001A2EB4">
        <w:rPr>
          <w:rFonts w:cs="Times New Roman"/>
        </w:rPr>
        <w:t>)</w:t>
      </w:r>
    </w:p>
    <w:p w14:paraId="0A228AFA" w14:textId="674D942D"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OH</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OH</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OH</m:t>
            </m:r>
          </m:sub>
        </m:sSub>
        <m:r>
          <w:rPr>
            <w:rFonts w:ascii="Cambria Math" w:hAnsi="Cambria Math"/>
          </w:rPr>
          <m:t>)+4</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r>
          <w:rPr>
            <w:rFonts w:ascii="Cambria Math" w:hAnsi="Cambria Math"/>
          </w:rPr>
          <m:t>-2</m:t>
        </m:r>
        <m:f>
          <m:fPr>
            <m:ctrlPr>
              <w:rPr>
                <w:rFonts w:ascii="Cambria Math" w:hAnsi="Cambria Math"/>
              </w:rPr>
            </m:ctrlPr>
          </m:fPr>
          <m:num>
            <m:r>
              <w:rPr>
                <w:rFonts w:ascii="Cambria Math" w:hAnsi="Cambria Math"/>
              </w:rPr>
              <m:t>∂F</m:t>
            </m:r>
          </m:num>
          <m:den>
            <m:r>
              <w:rPr>
                <w:rFonts w:ascii="Cambria Math" w:hAnsi="Cambria Math"/>
              </w:rPr>
              <m:t>∂t</m:t>
            </m:r>
          </m:den>
        </m:f>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2D54A70"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molar concentration </w:t>
      </w:r>
      <m:oMath>
        <m:sSub>
          <m:sSubPr>
            <m:ctrlPr>
              <w:rPr>
                <w:rFonts w:ascii="Cambria Math" w:hAnsi="Cambria Math"/>
              </w:rPr>
            </m:ctrlPr>
          </m:sSubPr>
          <m:e>
            <m:r>
              <w:rPr>
                <w:rFonts w:ascii="Cambria Math" w:hAnsi="Cambria Math"/>
              </w:rPr>
              <m:t>F</m:t>
            </m:r>
          </m:e>
          <m:sub>
            <m:r>
              <w:rPr>
                <w:rFonts w:ascii="Cambria Math" w:hAnsi="Cambria Math"/>
              </w:rPr>
              <m:t>max</m:t>
            </m:r>
          </m:sub>
        </m:sSub>
        <m:r>
          <w:rPr>
            <w:rFonts w:ascii="Cambria Math" w:hAnsi="Cambria Math"/>
          </w:rPr>
          <m:t>=</m:t>
        </m:r>
        <m:f>
          <m:fPr>
            <m:type m:val="lin"/>
            <m:ctrlPr>
              <w:rPr>
                <w:rFonts w:ascii="Cambria Math" w:hAnsi="Cambria Math"/>
                <w:i/>
              </w:rPr>
            </m:ctrlPr>
          </m:fPr>
          <m:num>
            <m:sSub>
              <m:sSubPr>
                <m:ctrlPr>
                  <w:rPr>
                    <w:rFonts w:ascii="Cambria Math" w:hAnsi="Cambria Math"/>
                  </w:rPr>
                </m:ctrlPr>
              </m:sSubPr>
              <m:e>
                <m:r>
                  <w:rPr>
                    <w:rFonts w:ascii="Cambria Math" w:hAnsi="Cambria Math"/>
                  </w:rPr>
                  <m:t>ρ</m:t>
                </m:r>
              </m:e>
              <m:sub>
                <m:r>
                  <w:rPr>
                    <w:rFonts w:ascii="Cambria Math" w:hAnsi="Cambria Math"/>
                  </w:rPr>
                  <m:t>film</m:t>
                </m:r>
              </m:sub>
            </m:sSub>
            <m:r>
              <w:rPr>
                <w:rFonts w:ascii="Cambria Math" w:hAnsi="Cambria Math"/>
              </w:rPr>
              <m:t>(1-ε)</m:t>
            </m:r>
          </m:num>
          <m:den>
            <m:sSub>
              <m:sSubPr>
                <m:ctrlPr>
                  <w:rPr>
                    <w:rFonts w:ascii="Cambria Math" w:hAnsi="Cambria Math"/>
                  </w:rPr>
                </m:ctrlPr>
              </m:sSubPr>
              <m:e>
                <m:r>
                  <w:rPr>
                    <w:rFonts w:ascii="Cambria Math" w:hAnsi="Cambria Math"/>
                  </w:rPr>
                  <m:t>M</m:t>
                </m:r>
              </m:e>
              <m:sub>
                <m:r>
                  <w:rPr>
                    <w:rFonts w:ascii="Cambria Math" w:hAnsi="Cambria Math"/>
                  </w:rPr>
                  <m:t>film</m:t>
                </m:r>
              </m:sub>
            </m:sSub>
          </m:den>
        </m:f>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45B0FB1"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2F52CE" w:rsidRPr="001A2EB4">
        <w:rPr>
          <w:b/>
          <w:bCs/>
        </w:rPr>
        <w:t xml:space="preserve">Figure </w:t>
      </w:r>
      <w:r w:rsidR="002F52CE">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0CEA365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2F52CE" w:rsidRPr="001A2EB4">
        <w:rPr>
          <w:b/>
          <w:bCs/>
        </w:rPr>
        <w:t xml:space="preserve">Figure </w:t>
      </w:r>
      <w:r w:rsidR="002F52CE">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47D6">
      <w:pPr>
        <w:pStyle w:val="BodyText"/>
        <w:ind w:firstLine="0"/>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10C991DD"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sSub>
          <m:sSubPr>
            <m:ctrlPr>
              <w:rPr>
                <w:rFonts w:ascii="Cambria Math" w:hAnsi="Cambria Math"/>
              </w:rPr>
            </m:ctrlPr>
          </m:sSubPr>
          <m:e>
            <m:r>
              <w:rPr>
                <w:rFonts w:ascii="Cambria Math" w:hAnsi="Cambria Math"/>
              </w:rPr>
              <m:t>v</m:t>
            </m:r>
          </m:e>
          <m:sub>
            <m:r>
              <w:rPr>
                <w:rFonts w:ascii="Cambria Math" w:hAnsi="Cambria Math"/>
              </w:rPr>
              <m:t>n</m:t>
            </m:r>
          </m:sub>
        </m:sSub>
      </m:oMath>
      <w:r w:rsidR="00E54A50" w:rsidRPr="001A2EB4">
        <w:rPr>
          <w:rFonts w:cs="Times New Roman"/>
        </w:rPr>
        <w:tab/>
        <w:t>(1</w:t>
      </w:r>
      <w:r w:rsidR="007432DD" w:rsidRPr="001A2EB4">
        <w:rPr>
          <w:rFonts w:cs="Times New Roman"/>
        </w:rPr>
        <w:t>4</w:t>
      </w:r>
      <w:r w:rsidR="00E54A50" w:rsidRPr="001A2EB4">
        <w:rPr>
          <w:rFonts w:cs="Times New Roman"/>
        </w:rPr>
        <w:t>)</w:t>
      </w:r>
    </w:p>
    <w:p w14:paraId="21A8FB58" w14:textId="270FAF77" w:rsidR="00D26518" w:rsidRPr="001A2EB4" w:rsidRDefault="00D26518" w:rsidP="009A47D6">
      <w:pPr>
        <w:pStyle w:val="BodyText"/>
        <w:ind w:firstLine="0"/>
      </w:pPr>
      <w:r w:rsidRPr="001A2EB4">
        <w:t xml:space="preserve">Oxygen consumption is represented by the interface-localized sink in </w:t>
      </w:r>
      <w:r w:rsidRPr="009A47D6">
        <w:rPr>
          <w:b/>
          <w:bCs/>
        </w:rPr>
        <w:t>Equation 7</w:t>
      </w:r>
      <w:r w:rsidRPr="001A2EB4">
        <w:t xml:space="preserve">. As oxygen transport to the interface becomes restricted, the interfacial oxygen concentration decreases, thereby reducing both the ORR flux and the interface recession velocity. Therefore, no separate velocity cap or rate-selection criterion is required. The transition from reaction-controlled to diffusion-controlled degradation emerges naturally from the depletion of interfacial oxygen and its coupling with transport processes </w:t>
      </w:r>
      <w:r w:rsidRPr="009A47D6">
        <w:rPr>
          <w:b/>
          <w:bCs/>
        </w:rPr>
        <w:t>(Section S1)</w:t>
      </w:r>
      <w:r w:rsidRPr="001A2EB4">
        <w:t>. Through this formulation, interface recession, oxygen consumption, Zn²⁺ release, OH⁻ generation, and corrosion-product growth are governed by a single oxygen-reduction flux, ensuring a mechanistically consistent link between interfacial chemistry, mass transport, and degradation kinetics.</w:t>
      </w:r>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6ABF29D2" w14:textId="30885A3E"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w:t>
      </w:r>
      <w:proofErr w:type="gramStart"/>
      <w:r w:rsidR="00024712" w:rsidRPr="001A2EB4">
        <w:t>the implant</w:t>
      </w:r>
      <w:proofErr w:type="gramEnd"/>
      <w:r w:rsidR="00024712" w:rsidRPr="001A2EB4">
        <w:t xml:space="preserve">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5523697A"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w:t>
      </w:r>
      <w:proofErr w:type="gramStart"/>
      <w:r w:rsidRPr="001A2EB4">
        <w:t>48 h</w:t>
      </w:r>
      <w:proofErr w:type="gramEnd"/>
      <w:r w:rsidRPr="001A2EB4">
        <w:t xml:space="preserve"> medium renewal used in the immersion tests was not modeled explicitly; instead, dissolved oxygen was assumed to be continuously replenished at the electrolyte–air interface</w:t>
      </w:r>
      <w:r w:rsidR="00442207">
        <w:t xml:space="preserve"> and </w:t>
      </w:r>
      <w:r w:rsidRPr="001A2EB4">
        <w:t>no natural convection was considered (static conditions</w:t>
      </w:r>
      <w:r w:rsidR="00F65951">
        <w:t xml:space="preserve">). </w:t>
      </w:r>
      <w:r w:rsidR="00F65951" w:rsidRPr="00F65951">
        <w:t xml:space="preserve">The effects of oxygen supply and initial dissolved-oxygen concentration are </w:t>
      </w:r>
      <w:r w:rsidR="00F65951">
        <w:t xml:space="preserve">shown in </w:t>
      </w:r>
      <w:r w:rsidR="00F65951" w:rsidRPr="00F65951">
        <w:rPr>
          <w:b/>
          <w:bCs/>
        </w:rPr>
        <w:t>Figure S10</w:t>
      </w:r>
      <w:r w:rsidRPr="001A2EB4">
        <w:t xml:space="preserve">. Simulations were executed in parallel using </w:t>
      </w:r>
      <w:proofErr w:type="spellStart"/>
      <w:r w:rsidRPr="001A2EB4">
        <w:t>FreeFEM</w:t>
      </w:r>
      <w:proofErr w:type="spellEnd"/>
      <w:del w:id="9001" w:author="Claude" w:date="2026-10-09T22:54:00Z">
        <w:r>
          <w:delText xml:space="preserve">++</w:delText>
        </w:r>
      </w:del>
      <w:r w:rsidRPr="001A2EB4">
        <w:t xml:space="preserve">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w:t>
      </w:r>
      <w:r w:rsidR="00780FF0" w:rsidRPr="001A2EB4">
        <w:t xml:space="preserve">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2F52CE" w:rsidRPr="001A2EB4">
        <w:rPr>
          <w:b/>
          <w:bCs/>
        </w:rPr>
        <w:t xml:space="preserve">Table </w:t>
      </w:r>
      <w:r w:rsidR="002F52CE">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6947678B"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118"/>
        <w:gridCol w:w="1702"/>
        <w:gridCol w:w="2849"/>
        <w:gridCol w:w="1403"/>
      </w:tblGrid>
      <w:tr w:rsidR="00E54A50" w:rsidRPr="001A2EB4" w14:paraId="5E15812C" w14:textId="77777777" w:rsidTr="00382515">
        <w:trPr>
          <w:cantSplit/>
          <w:trHeight w:val="397"/>
          <w:tblHeader/>
        </w:trPr>
        <w:tc>
          <w:tcPr>
            <w:tcW w:w="1719"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938"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570"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382515">
        <w:trPr>
          <w:cantSplit/>
          <w:trHeight w:val="397"/>
        </w:trPr>
        <w:tc>
          <w:tcPr>
            <w:tcW w:w="1719"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938"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382515">
        <w:trPr>
          <w:cantSplit/>
          <w:trHeight w:val="397"/>
        </w:trPr>
        <w:tc>
          <w:tcPr>
            <w:tcW w:w="1719"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938"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570"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382515">
        <w:trPr>
          <w:cantSplit/>
          <w:trHeight w:val="397"/>
        </w:trPr>
        <w:tc>
          <w:tcPr>
            <w:tcW w:w="1719"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938"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570"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382515">
        <w:trPr>
          <w:cantSplit/>
          <w:trHeight w:val="397"/>
        </w:trPr>
        <w:tc>
          <w:tcPr>
            <w:tcW w:w="1719"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938"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382515">
        <w:trPr>
          <w:cantSplit/>
          <w:trHeight w:val="397"/>
        </w:trPr>
        <w:tc>
          <w:tcPr>
            <w:tcW w:w="1719"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938"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570"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382515">
        <w:trPr>
          <w:cantSplit/>
          <w:trHeight w:val="397"/>
        </w:trPr>
        <w:tc>
          <w:tcPr>
            <w:tcW w:w="1719"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938"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570"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382515">
        <w:trPr>
          <w:cantSplit/>
          <w:trHeight w:val="397"/>
        </w:trPr>
        <w:tc>
          <w:tcPr>
            <w:tcW w:w="1719"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938"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570"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382515">
        <w:trPr>
          <w:cantSplit/>
          <w:trHeight w:val="397"/>
        </w:trPr>
        <w:tc>
          <w:tcPr>
            <w:tcW w:w="1719"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938"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570"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382515">
        <w:trPr>
          <w:cantSplit/>
          <w:trHeight w:val="397"/>
        </w:trPr>
        <w:tc>
          <w:tcPr>
            <w:tcW w:w="1719"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938"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382515">
        <w:trPr>
          <w:cantSplit/>
          <w:trHeight w:val="397"/>
        </w:trPr>
        <w:tc>
          <w:tcPr>
            <w:tcW w:w="1719"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938"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570"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382515">
        <w:trPr>
          <w:cantSplit/>
          <w:trHeight w:val="397"/>
        </w:trPr>
        <w:tc>
          <w:tcPr>
            <w:tcW w:w="1719"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938"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570"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382515">
        <w:trPr>
          <w:cantSplit/>
          <w:trHeight w:val="397"/>
        </w:trPr>
        <w:tc>
          <w:tcPr>
            <w:tcW w:w="1719"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938"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570"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382515">
        <w:trPr>
          <w:cantSplit/>
          <w:trHeight w:val="397"/>
        </w:trPr>
        <w:tc>
          <w:tcPr>
            <w:tcW w:w="1719"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938"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382515">
        <w:trPr>
          <w:cantSplit/>
          <w:trHeight w:val="397"/>
        </w:trPr>
        <w:tc>
          <w:tcPr>
            <w:tcW w:w="1719"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938"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570"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382515">
        <w:trPr>
          <w:cantSplit/>
          <w:trHeight w:val="397"/>
        </w:trPr>
        <w:tc>
          <w:tcPr>
            <w:tcW w:w="1719"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938"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570" w:type="pct"/>
          </w:tcPr>
          <w:p w14:paraId="71708B56" w14:textId="18C5065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1.42 × 10⁻⁷ mol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382515">
        <w:trPr>
          <w:cantSplit/>
          <w:trHeight w:val="397"/>
        </w:trPr>
        <w:tc>
          <w:tcPr>
            <w:tcW w:w="1719"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938"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570" w:type="pct"/>
          </w:tcPr>
          <w:p w14:paraId="1BC5FFA1" w14:textId="5BC86A1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1.09 × 10⁻¹⁰ mol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382515">
        <w:trPr>
          <w:cantSplit/>
          <w:trHeight w:val="397"/>
        </w:trPr>
        <w:tc>
          <w:tcPr>
            <w:tcW w:w="1719"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938"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570"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F585E83"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 xml:space="preserve">were calibrated using Bayesian </w:t>
      </w:r>
      <w:r w:rsidR="00435C38" w:rsidRPr="001A2EB4">
        <w:t>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w:t>
      </w:r>
      <w:r w:rsidR="00A25D93" w:rsidRPr="00A25D93">
        <w:t xml:space="preserve">To reduce computational cost, calibration was performed on a coarser mesh and </w:t>
      </w:r>
      <w:r w:rsidR="00A25D93">
        <w:t>then</w:t>
      </w:r>
      <w:r w:rsidR="00A25D93" w:rsidRPr="00A25D93">
        <w:t xml:space="preserve"> corrected to the fine-mesh result (</w:t>
      </w:r>
      <w:r w:rsidR="00A25D93" w:rsidRPr="00A25D93">
        <w:rPr>
          <w:b/>
          <w:bCs/>
        </w:rPr>
        <w:t>Section S5, Figure S5</w:t>
      </w:r>
      <w:r w:rsidR="00A25D93" w:rsidRPr="00A25D93">
        <w:t>).</w:t>
      </w:r>
      <w:r w:rsidR="00A25D93">
        <w:t xml:space="preserve"> </w:t>
      </w:r>
      <w:r w:rsidR="00435C38" w:rsidRPr="001A2EB4">
        <w:t xml:space="preserve">Optimal parameter combinations were identified by minimizing the RMSE between simulated and literature mass-loss data. </w:t>
      </w:r>
      <w:r w:rsidR="00881520" w:rsidRPr="001A2EB4">
        <w:t>The calibrated model was then validated against the HBSS immersion dataset generated in the present study</w:t>
      </w:r>
      <w:r w:rsidR="007D166F">
        <w:t xml:space="preserve"> (</w:t>
      </w:r>
      <w:proofErr w:type="gramStart"/>
      <w:del w:id="9014" w:author="Claude" w:date="2026-10-09T22:52:19Z">
        <w:r>
          <w:delText xml:space="preserve">Both</w:delText>
        </w:r>
      </w:del>
      <w:ins w:id="9013" w:author="Claude" w:date="2026-10-09T22:52:19Z">
        <w:r w:rsidR="007D166F">
          <w:t xml:space="preserve">Table</w:t>
        </w:r>
      </w:ins>
      <w:r w:rsidR="007D166F">
        <w:t xml:space="preserve"> </w:t>
      </w:r>
      <w:ins w:id="9012" w:author="Claude" w:date="2026-10-09T22:52:19Z">
        <w:r w:rsidR="007D166F">
          <w:t xml:space="preserve">3, Figure 5a)</w:t>
        </w:r>
      </w:ins>
      <w:r w:rsidR="00881520" w:rsidRPr="001A2EB4">
        <w:t>.</w:t>
      </w:r>
      <w:proofErr w:type="gramEnd"/>
      <w:r w:rsidR="00881520" w:rsidRPr="001A2EB4">
        <w:t xml:space="preserve">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11BBB4"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2F52CE">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56FD767"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b/>
          <w:bCs/>
        </w:rPr>
        <w:fldChar w:fldCharType="begin"/>
      </w:r>
      <w:r w:rsidRPr="001A2EB4">
        <w:rPr>
          <w:rFonts w:cs="Times New Roman"/>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b/>
          <w:bCs/>
        </w:rPr>
        <w:fldChar w:fldCharType="begin"/>
      </w:r>
      <w:r w:rsidRPr="001A2EB4">
        <w:rPr>
          <w:rFonts w:cs="Times New Roman"/>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fldChar w:fldCharType="separate"/>
      </w:r>
      <w:r w:rsidR="00F60B2A" w:rsidRPr="00F60B2A">
        <w:rPr>
          <w:rFonts w:cs="Times New Roman"/>
          <w:vertAlign w:val="superscript"/>
        </w:rPr>
        <w:t>[21]</w:t>
      </w:r>
      <w:r w:rsidR="00B30658" w:rsidRPr="001A2EB4">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w:t>
      </w:r>
      <w:del w:id="14" w:author="Claude" w:date="2026-10-09T01:35:00Z">
        <w:r w:rsidR="00B710C6"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1B3D66">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B3D66">
        <w:rPr>
          <w:rFonts w:cs="Times New Roman"/>
        </w:rPr>
        <w:t>.</w:t>
      </w:r>
      <w:r w:rsidRPr="001A2EB4">
        <w:rPr>
          <w:rFonts w:cs="Times New Roman"/>
        </w:rPr>
        <w:t xml:space="preserve"> </w:t>
      </w:r>
    </w:p>
    <w:p w14:paraId="6A0951C6" w14:textId="5CEDC23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 xml:space="preserve">Following the initial exploration of the admissible parameter space, the optimization rapidly reduced the RMSE from approximately 0.28% to below 0.05% and </w:t>
      </w:r>
      <w:r>
        <w:t>identified</w:t>
      </w:r>
      <w:r w:rsidR="00B31A12" w:rsidRPr="001A2EB4">
        <w:t xml:space="preserve"> </w:t>
      </w:r>
      <w:r>
        <w:t>a</w:t>
      </w:r>
      <w:r w:rsidR="00B31A12" w:rsidRPr="001A2EB4">
        <w:t xml:space="preserve"> </w:t>
      </w:r>
      <w:r>
        <w:t>distinct</w:t>
      </w:r>
      <w:r w:rsidR="00B31A12" w:rsidRPr="001A2EB4">
        <w:t xml:space="preserve"> </w:t>
      </w:r>
      <w:r>
        <w:t>optimum</w:t>
      </w:r>
      <w:r w:rsidR="00B31A12" w:rsidRPr="001A2EB4">
        <w:t xml:space="preserve"> </w:t>
      </w:r>
      <w:r>
        <w:t>after</w:t>
      </w:r>
      <w:r w:rsidR="00B31A12" w:rsidRPr="001A2EB4">
        <w:t xml:space="preserve"> 22</w:t>
      </w:r>
      <w:r>
        <w:t xml:space="preserve">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w:t>
      </w:r>
      <w:r>
        <w:t>, indicating stable convergence rather than continued sensitivity to parameter exploration</w:t>
      </w:r>
      <w:r w:rsidR="00B31A12" w:rsidRPr="001A2EB4">
        <w:t>.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The </w:t>
      </w:r>
      <w:r>
        <w:t xml:space="preserve">combination of </w:t>
      </w:r>
      <w:r w:rsidR="00B31A12" w:rsidRPr="001A2EB4">
        <w:t>low calibration error</w:t>
      </w:r>
      <w:r>
        <w:t xml:space="preserve"> and rapid convergence</w:t>
      </w:r>
      <w:r w:rsidR="00B31A12" w:rsidRPr="001A2EB4">
        <w:t xml:space="preserve"> supports the framework’s potential as a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26B8E943" w:rsidR="0090588D" w:rsidRPr="001A2EB4" w:rsidRDefault="0090588D" w:rsidP="0090588D">
      <w:pPr>
        <w:pStyle w:val="Captions"/>
      </w:pPr>
      <w:bookmarkStart w:id="15"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3</w:t>
      </w:r>
      <w:r w:rsidRPr="001A2EB4">
        <w:rPr>
          <w:b/>
          <w:bCs/>
        </w:rPr>
        <w:fldChar w:fldCharType="end"/>
      </w:r>
      <w:bookmarkEnd w:id="15"/>
      <w:r w:rsidRPr="001A2EB4">
        <w:rPr>
          <w:b/>
          <w:bCs/>
        </w:rPr>
        <w:t>.</w:t>
      </w:r>
      <w:r w:rsidRPr="001A2EB4">
        <w:t xml:space="preserve"> Calibration of the Zn biodegradation model. (a) </w:t>
      </w:r>
      <w:proofErr w:type="gramStart"/>
      <w:r w:rsidRPr="001A2EB4">
        <w:t>Morris</w:t>
      </w:r>
      <w:proofErr w:type="gramEnd"/>
      <w:r w:rsidRPr="001A2EB4">
        <w:t xml:space="preserve">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6FED57CD" w:rsidR="0090588D" w:rsidRPr="001A2EB4" w:rsidRDefault="0090588D" w:rsidP="001212AC">
      <w:pPr>
        <w:pStyle w:val="Captions"/>
        <w:keepNext/>
        <w:rPr>
          <w:i/>
        </w:rPr>
      </w:pPr>
      <w:bookmarkStart w:id="16" w:name="_Ref238636197"/>
      <w:bookmarkStart w:id="17"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2</w:t>
      </w:r>
      <w:r w:rsidRPr="001A2EB4">
        <w:rPr>
          <w:b/>
          <w:bCs/>
        </w:rPr>
        <w:fldChar w:fldCharType="end"/>
      </w:r>
      <w:bookmarkEnd w:id="16"/>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7E6198CE"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1×10⁴, 8×10⁵</w:t>
            </w:r>
            <w:r w:rsidRPr="001A2EB4">
              <w:rPr>
                <w:rFonts w:cs="Times New Roman"/>
                <w:sz w:val="22"/>
                <w:szCs w:val="22"/>
              </w:rPr>
              <w:t>]</w:t>
            </w:r>
          </w:p>
        </w:tc>
        <w:tc>
          <w:tcPr>
            <w:tcW w:w="1403" w:type="pct"/>
          </w:tcPr>
          <w:p w14:paraId="08F7AE1D" w14:textId="577F7D26"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3×10⁵</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317236B8"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2×10⁷, 4×10⁸</w:t>
            </w:r>
            <w:r w:rsidRPr="001A2EB4">
              <w:rPr>
                <w:rFonts w:cs="Times New Roman"/>
                <w:sz w:val="22"/>
                <w:szCs w:val="22"/>
              </w:rPr>
              <w:t>]</w:t>
            </w:r>
          </w:p>
        </w:tc>
        <w:tc>
          <w:tcPr>
            <w:tcW w:w="1403" w:type="pct"/>
          </w:tcPr>
          <w:p w14:paraId="45745734" w14:textId="75E30467"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1×10⁸</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457E7493"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8, 800</w:t>
            </w:r>
            <w:r w:rsidRPr="001A2EB4">
              <w:rPr>
                <w:rFonts w:cs="Times New Roman"/>
                <w:sz w:val="22"/>
                <w:szCs w:val="22"/>
              </w:rPr>
              <w:t>]</w:t>
            </w:r>
          </w:p>
        </w:tc>
        <w:tc>
          <w:tcPr>
            <w:tcW w:w="1403" w:type="pct"/>
          </w:tcPr>
          <w:p w14:paraId="2697C478" w14:textId="035CC0AB"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80</w:t>
            </w:r>
          </w:p>
        </w:tc>
      </w:tr>
      <w:bookmarkEnd w:id="17"/>
    </w:tbl>
    <w:p w14:paraId="1D477EF3" w14:textId="77777777" w:rsidR="0090588D" w:rsidRPr="001A2EB4" w:rsidRDefault="0090588D" w:rsidP="0090588D">
      <w:pPr>
        <w:pStyle w:val="BodyText"/>
        <w:ind w:firstLine="0"/>
      </w:pPr>
    </w:p>
    <w:p w14:paraId="4A960038" w14:textId="5F7D335B"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18"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where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5A635B1C"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r w:rsidR="008E5454">
        <w:t xml:space="preserve">corrosion-product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DFD46EF"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2F52CE" w:rsidRPr="002F52CE">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2F52CE" w:rsidRPr="001A2EB4">
        <w:rPr>
          <w:b/>
          <w:bCs/>
        </w:rPr>
        <w:t xml:space="preserve">Figure </w:t>
      </w:r>
      <w:r w:rsidR="002F52CE">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rPr>
          <w:del w:id="20002" w:author="Claude" w:date="2026-10-09T23:13:02Z"/>
        </w:rPr>
      </w:pPr>
      <w:del w:id="20001" w:author="Claude" w:date="2026-10-09T23:13:02Z">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del>
    </w:p>
    <w:p w14:paraId="289699D2" w14:textId="00F0F4E4" w:rsidR="000631D6" w:rsidRPr="001A2EB4" w:rsidRDefault="00442207" w:rsidP="000631D6">
      <w:pPr>
        <w:keepNext/>
        <w:jc w:val="center"/>
        <w:rPr>
          <w:ins w:id="20004" w:author="Claude" w:date="2026-10-09T23:13:02Z"/>
        </w:rPr>
      </w:pPr>
      <w:ins w:id="20003" w:author="Claude" w:date="2026-10-09T23:13:02Z">
        <w:r>
          <w:rPr>
            <w:noProof/>
          </w:rPr>
          <w:drawing>
            <wp:inline distT="0" distB="0" distL="0" distR="0" wp14:anchorId="36EF7F28" wp14:editId="13A4B40B">
              <wp:extent cx="5760720" cy="4579033"/>
              <wp:effectExtent l="0" t="0" r="0" b="0"/>
              <wp:docPr id="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Picture 163948246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4579033"/>
                      </a:xfrm>
                      <a:prstGeom prst="rect">
                        <a:avLst/>
                      </a:prstGeom>
                    </pic:spPr>
                  </pic:pic>
                </a:graphicData>
              </a:graphic>
            </wp:inline>
          </w:drawing>
        </w:r>
      </w:ins>
    </w:p>
    <w:p w14:paraId="3497CC28" w14:textId="66900EEE" w:rsidR="000631D6" w:rsidRPr="001A2EB4" w:rsidRDefault="000631D6" w:rsidP="000631D6">
      <w:pPr>
        <w:pStyle w:val="Captions"/>
        <w:rPr>
          <w:rFonts w:cs="Times New Roman"/>
        </w:rPr>
      </w:pPr>
      <w:bookmarkStart w:id="19"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4</w:t>
      </w:r>
      <w:r w:rsidRPr="001A2EB4">
        <w:rPr>
          <w:b/>
          <w:bCs/>
        </w:rPr>
        <w:fldChar w:fldCharType="end"/>
      </w:r>
      <w:bookmarkEnd w:id="19"/>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51983772"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Table </w:t>
      </w:r>
      <w:r w:rsidR="002F52CE">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5B74C020"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027130D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w:t>
      </w:r>
      <w:ins w:id="9001" w:author="Claude" w:date="2026-10-09T23:13:02Z">
        <w:r w:rsidR="000631D6" w:rsidRPr="001A2EB4">
          <w:rPr>
            <w:rFonts w:cs="Times New Roman"/>
          </w:rPr>
          <w:t xml:space="preserve">. Uncertainty in the predicted mass loss arising from the calibrated kinetic parameters is reported as parameter-propagated ensemble intervals in Section S6</w:t>
        </w:r>
      </w:ins>
      <w:r w:rsidR="000631D6" w:rsidRPr="001A2EB4">
        <w:rPr>
          <w:rFonts w:cs="Times New Roman"/>
        </w:rPr>
        <w:t xml:space="preserve">.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w:t>
      </w:r>
      <w:proofErr w:type="gramStart"/>
      <w:r w:rsidR="00E26AAF" w:rsidRPr="001A2EB4">
        <w:t>limiting</w:t>
      </w:r>
      <w:proofErr w:type="gramEnd"/>
      <w:r w:rsidR="00E26AAF" w:rsidRPr="001A2EB4">
        <w:t>, marking the onset of diffusion-controlled degradation and driving the subsequent decline in corrosion rate.</w:t>
      </w:r>
    </w:p>
    <w:p w14:paraId="6FAFD922" w14:textId="5EED767E"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ADCA70C"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5CC46ED"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2F52CE" w:rsidRPr="001A2EB4">
        <w:rPr>
          <w:b/>
          <w:bCs/>
        </w:rPr>
        <w:t xml:space="preserve">Figure </w:t>
      </w:r>
      <w:r w:rsidR="002F52CE">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ins w:id="23"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24"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5BF16D2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xml:space="preserve">) and degradation, where cumulative mass loss increased approximately linearly with </w:t>
      </w:r>
      <w:proofErr w:type="gramStart"/>
      <w:r w:rsidR="00B565AC" w:rsidRPr="00B565AC">
        <w:t>SA:V</w:t>
      </w:r>
      <w:proofErr w:type="gramEnd"/>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736366CC"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2F52CE" w:rsidRPr="001A2EB4">
        <w:rPr>
          <w:b/>
          <w:bCs/>
        </w:rPr>
        <w:t xml:space="preserve">Figure </w:t>
      </w:r>
      <w:r w:rsidR="002F52CE">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7CBD23EE" w:rsidR="00FE72EC" w:rsidRPr="001A2EB4" w:rsidRDefault="000631D6" w:rsidP="00FE72EC">
      <w:pPr>
        <w:pStyle w:val="Captions"/>
      </w:pPr>
      <w:bookmarkStart w:id="25"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6</w:t>
      </w:r>
      <w:r w:rsidRPr="001A2EB4">
        <w:rPr>
          <w:b/>
          <w:bCs/>
        </w:rPr>
        <w:fldChar w:fldCharType="end"/>
      </w:r>
      <w:bookmarkEnd w:id="25"/>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4297CA8E"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2F52CE" w:rsidRPr="001A2EB4">
        <w:rPr>
          <w:b/>
          <w:bCs/>
        </w:rPr>
        <w:t xml:space="preserve">Figure </w:t>
      </w:r>
      <w:r w:rsidR="002F52CE">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2F52CE" w:rsidRPr="001A2EB4">
        <w:rPr>
          <w:b/>
          <w:bCs/>
        </w:rPr>
        <w:t xml:space="preserve">Figure </w:t>
      </w:r>
      <w:r w:rsidR="002F52CE">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153F382A"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2F52CE" w:rsidRPr="001A2EB4">
        <w:rPr>
          <w:b/>
          <w:bCs/>
        </w:rPr>
        <w:t xml:space="preserve">Figure </w:t>
      </w:r>
      <w:r w:rsidR="002F52CE">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6"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C3191CC" w:rsidR="000631D6" w:rsidRPr="001A2EB4" w:rsidRDefault="000631D6" w:rsidP="000631D6">
      <w:pPr>
        <w:pStyle w:val="Captions"/>
      </w:pPr>
      <w:bookmarkStart w:id="27"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7</w:t>
      </w:r>
      <w:r w:rsidRPr="001A2EB4">
        <w:rPr>
          <w:b/>
          <w:bCs/>
        </w:rPr>
        <w:fldChar w:fldCharType="end"/>
      </w:r>
      <w:bookmarkEnd w:id="27"/>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B1A7866"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t>strongly</w:t>
      </w:r>
      <w:proofErr w:type="gramEnd"/>
      <w:r w:rsidRPr="001A2EB4">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764197DA" w:rsidR="00BC50F3" w:rsidRPr="001A2EB4" w:rsidRDefault="00BC50F3" w:rsidP="00BC50F3">
      <w:pPr>
        <w:pStyle w:val="Captions"/>
      </w:pPr>
      <w:bookmarkStart w:id="28"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8</w:t>
      </w:r>
      <w:r w:rsidRPr="001A2EB4">
        <w:rPr>
          <w:b/>
          <w:bCs/>
        </w:rPr>
        <w:fldChar w:fldCharType="end"/>
      </w:r>
      <w:bookmarkEnd w:id="28"/>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088F72"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29" w:author="Claude" w:date="2026-10-08T20:38:00Z">
        <w:r>
          <w:delText>-</w:delText>
        </w:r>
      </w:del>
      <w:r w:rsidR="005757F6">
        <w:t xml:space="preserve"> products are treated as a homogenized </w:t>
      </w:r>
      <w:proofErr w:type="spellStart"/>
      <w:r w:rsidR="005757F6">
        <w:t>ZnO</w:t>
      </w:r>
      <w:proofErr w:type="spellEnd"/>
      <w:r w:rsidR="005757F6">
        <w:t xml:space="preserve">-based field rather than a discrete surface film or a heterogeneous, composition-dependent structure, </w:t>
      </w:r>
      <w:proofErr w:type="gramStart"/>
      <w:r w:rsidR="005757F6">
        <w:t>and phosphate-,</w:t>
      </w:r>
      <w:proofErr w:type="gramEnd"/>
      <w:r w:rsidR="005757F6">
        <w:t xml:space="preserve"> carbonate-, calcium-, and chloride-containing phases</w:t>
      </w:r>
      <w:ins w:id="30"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xml:space="preserve">​ should be regarded as an effective parameter that partially incorporates uncertainty in oxygen availability. </w:t>
      </w:r>
      <w:r w:rsidR="00315830" w:rsidRPr="00315830">
        <w:t xml:space="preserve">Continuous oxygen replenishment at the electrolyte-air interface may not fully represent the </w:t>
      </w:r>
      <w:proofErr w:type="gramStart"/>
      <w:r w:rsidR="00315830" w:rsidRPr="00315830">
        <w:t>48 h</w:t>
      </w:r>
      <w:proofErr w:type="gramEnd"/>
      <w:r w:rsidR="00315830" w:rsidRPr="00315830">
        <w:t xml:space="preserve"> medium renewal used experimentally, making the </w:t>
      </w:r>
      <w:r w:rsidR="00315830" w:rsidRPr="00315830">
        <w:t>calibrated model conditional on the assumed oxygen history</w:t>
      </w:r>
      <w:r w:rsidR="00492114" w:rsidRPr="00492114">
        <w:t xml:space="preserve"> </w:t>
      </w:r>
      <w:r w:rsidR="00492114" w:rsidRPr="00315830">
        <w:rPr>
          <w:b/>
          <w:bCs/>
        </w:rPr>
        <w:t>(Section S7, Figure S10)</w:t>
      </w:r>
      <w:r w:rsidR="00492114" w:rsidRPr="00492114">
        <w:t>.</w:t>
      </w:r>
      <w:r w:rsidR="00492114">
        <w:t xml:space="preserve"> </w:t>
      </w:r>
      <w:r w:rsidR="00315830" w:rsidRPr="00315830">
        <w:t>In addition, the smaller computational domain (27 mL vs. 44 mL experimentally) may influence the predicted oxygen concentration field due to the reduced oxygen reservoir.</w:t>
      </w:r>
      <w:r w:rsidR="00315830">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7FE4A91C" w14:textId="4A1BB8CA" w:rsidR="005757F6" w:rsidRPr="005757F6" w:rsidRDefault="005757F6" w:rsidP="00F33260">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r w:rsidR="00F33260" w:rsidRPr="00F33260">
        <w:t>This capability would enable structural optimization of biodegradable Zn implants to move beyond current as-fabricated-state studies and toward predicting performance throughout the degradation process</w:t>
      </w:r>
      <w:r w:rsidR="00F33260">
        <w:t xml:space="preserve"> </w:t>
      </w:r>
      <w:r w:rsidR="00F33260">
        <w:fldChar w:fldCharType="begin"/>
      </w:r>
      <w:r w:rsidR="00F33260">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F33260">
        <w:fldChar w:fldCharType="separate"/>
      </w:r>
      <w:r w:rsidR="00F33260" w:rsidRPr="001F250F">
        <w:rPr>
          <w:rFonts w:cs="Times New Roman"/>
          <w:vertAlign w:val="superscript"/>
        </w:rPr>
        <w:t>[41,42]</w:t>
      </w:r>
      <w:r w:rsidR="00F33260">
        <w:fldChar w:fldCharType="end"/>
      </w:r>
      <w:r w:rsidR="00F33260" w:rsidRPr="00F33260">
        <w:t>.</w:t>
      </w:r>
    </w:p>
    <w:p w14:paraId="63681017" w14:textId="77777777" w:rsidR="00E26AAF" w:rsidRDefault="00E26AAF" w:rsidP="00711ECD">
      <w:pPr>
        <w:pStyle w:val="BodyText"/>
        <w:ind w:firstLine="0"/>
      </w:pPr>
    </w:p>
    <w:p w14:paraId="5236B1E0" w14:textId="77777777" w:rsidR="00F33260" w:rsidRDefault="00F33260" w:rsidP="00711ECD">
      <w:pPr>
        <w:pStyle w:val="BodyText"/>
        <w:ind w:firstLine="0"/>
      </w:pPr>
    </w:p>
    <w:p w14:paraId="5E2269A6" w14:textId="77777777" w:rsidR="00F33260" w:rsidRDefault="00F33260" w:rsidP="00711ECD">
      <w:pPr>
        <w:pStyle w:val="BodyText"/>
        <w:ind w:firstLine="0"/>
      </w:pPr>
    </w:p>
    <w:bookmarkEnd w:id="26"/>
    <w:p w14:paraId="516B3B1A" w14:textId="77777777" w:rsidR="000631D6" w:rsidRPr="001A2EB4" w:rsidRDefault="000631D6" w:rsidP="000631D6">
      <w:pPr>
        <w:pStyle w:val="Heading1"/>
      </w:pPr>
      <w:r w:rsidRPr="001A2EB4">
        <w:t>Conclusions</w:t>
      </w:r>
    </w:p>
    <w:p w14:paraId="0E48EE87" w14:textId="5DFC256D" w:rsidR="00C5098B" w:rsidRDefault="005B5344" w:rsidP="0063546E">
      <w:pPr>
        <w:pStyle w:val="BodyText"/>
      </w:pPr>
      <w:bookmarkStart w:id="31"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2"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which could enable structural performance to be considered throughout the implant lifetime rather than only at implantation.</w:t>
      </w:r>
      <w:bookmarkEnd w:id="31"/>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72D3015" w14:textId="77777777" w:rsidR="00683888" w:rsidRDefault="00683888" w:rsidP="006E76EC">
      <w:pPr>
        <w:pStyle w:val="MainText"/>
        <w:spacing w:before="240" w:after="240" w:line="240" w:lineRule="auto"/>
        <w:rPr>
          <w:b/>
          <w:bCs/>
        </w:rPr>
      </w:pPr>
    </w:p>
    <w:p w14:paraId="5655A0C5" w14:textId="77777777" w:rsidR="00F33260" w:rsidRDefault="00F33260" w:rsidP="006E76EC">
      <w:pPr>
        <w:pStyle w:val="MainText"/>
        <w:spacing w:before="240" w:after="240" w:line="240" w:lineRule="auto"/>
        <w:rPr>
          <w:b/>
          <w:bCs/>
        </w:rPr>
      </w:pPr>
    </w:p>
    <w:p w14:paraId="1F592301" w14:textId="77777777" w:rsidR="00F33260" w:rsidRDefault="00F33260" w:rsidP="006E76EC">
      <w:pPr>
        <w:pStyle w:val="MainText"/>
        <w:spacing w:before="240" w:after="240" w:line="240" w:lineRule="auto"/>
        <w:rPr>
          <w:b/>
          <w:bCs/>
        </w:rPr>
      </w:pPr>
    </w:p>
    <w:p w14:paraId="63DAEBFE" w14:textId="77777777" w:rsidR="00F33260" w:rsidRPr="001A2EB4" w:rsidRDefault="00F33260"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Shearier,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Atrens, G. Song, M. Liu, Z. Shi, F. Cao, and M. S. Dargusch,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Katarivas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Vojtěch, J. Kubásek, J. Šerák, and P. Novák, “Mechanical and Corrosion Properties of Newly Developed Biodegradable Zn-Based Alloys for Bone Fixation,” </w:t>
      </w:r>
      <w:r w:rsidRPr="001F250F">
        <w:rPr>
          <w:i/>
          <w:iCs/>
        </w:rPr>
        <w:t>Acta Biomaterialia</w:t>
      </w:r>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r w:rsidRPr="001F250F">
        <w:rPr>
          <w:i/>
          <w:iCs/>
        </w:rPr>
        <w:t>npj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Willumeit-Römer, and B. Zeller-Plumhoff,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Petrini, M. Vedani, S. Trasatti, and F. Migliavacca, “Continuum Damage Model for Bioresorbable Magnesium Alloy Devices — Application to Coronary </w:t>
      </w:r>
      <w:r w:rsidRPr="001F250F">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Acta Biomaterialia</w:t>
      </w:r>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Barzegari, D. Mei, S. V. Lamaka,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Bajger, J. M. A. Ashbourn, V. Manhas, Y. Guyot, K. Lietaert, and L. Geris, “Mathematical Modelling of the Degradation Behaviour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Medhekar, G. S. Frankel, and N. Birbilis,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Nishikata, and T. Tsuru,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Wallmersperger, “Modeling the Uniform Corrosion Behavior of Zinc in Salt Spray Testing,” </w:t>
      </w:r>
      <w:r w:rsidRPr="001F250F">
        <w:rPr>
          <w:i/>
          <w:iCs/>
        </w:rPr>
        <w:t>npj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Kistanov, A. A. Izosimov, and E. A. Korznikova,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AlBaraghtheh, R. Willumeit‐Römer, and B. Zeller‐Plumhoff,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Su, L. Qiao, and Y. Yan, “Insight into the Corrosion Behaviour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Golovaty, K. L. Kreider, G. W. Young, and R. S. Lillard, “An Adaptive Level Set Approach for Modeling Damage Due to Galvanic Corrosion,” </w:t>
      </w:r>
      <w:r w:rsidRPr="001F250F">
        <w:rPr>
          <w:i/>
          <w:iCs/>
        </w:rPr>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r w:rsidRPr="001F250F">
        <w:rPr>
          <w:b/>
          <w:bCs/>
          <w:vertAlign w:val="subscript"/>
        </w:rPr>
        <w:t>2</w:t>
      </w:r>
      <w:r w:rsidRPr="001F250F">
        <w:rPr>
          <w:b/>
          <w:bCs/>
        </w:rPr>
        <w:t xml:space="preserve"> </w:t>
      </w:r>
      <w:r w:rsidRPr="001F250F">
        <w:t xml:space="preserve"> </w:t>
      </w:r>
      <w:r w:rsidRPr="001F250F">
        <w:rPr>
          <w:b/>
          <w:bCs/>
        </w:rPr>
        <w:t>O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Marmet, M. Fingerle, A. Wiegmann,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Tkacz, K. Slouková, J. Minda,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Kokubo, and H. Takadama, “How Useful Is SBF in Predicting in Vivo Bone Bioactivity?,”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Volinsky,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Mostaed, M. Sikora-Jasinska, J. W. Drelich, and M. Vedani, “Zinc-Based Alloys for Degradable Vascular Stent Applications,” </w:t>
      </w:r>
      <w:r w:rsidRPr="001F250F">
        <w:rPr>
          <w:i/>
          <w:iCs/>
        </w:rPr>
        <w:t>Acta Biomaterialia</w:t>
      </w:r>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D79D7" w14:textId="77777777" w:rsidR="00BD7CB6" w:rsidRDefault="00BD7CB6">
      <w:r>
        <w:separator/>
      </w:r>
    </w:p>
  </w:endnote>
  <w:endnote w:type="continuationSeparator" w:id="0">
    <w:p w14:paraId="22995E7D" w14:textId="77777777" w:rsidR="00BD7CB6" w:rsidRDefault="00BD7C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7FFBE" w14:textId="77777777" w:rsidR="00BD7CB6" w:rsidRDefault="00BD7CB6">
      <w:r>
        <w:separator/>
      </w:r>
    </w:p>
  </w:footnote>
  <w:footnote w:type="continuationSeparator" w:id="0">
    <w:p w14:paraId="37C56B44" w14:textId="77777777" w:rsidR="00BD7CB6" w:rsidRDefault="00BD7C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52131274">
    <w:abstractNumId w:val="2"/>
  </w:num>
  <w:num w:numId="2" w16cid:durableId="1100103712">
    <w:abstractNumId w:val="0"/>
  </w:num>
  <w:num w:numId="3" w16cid:durableId="1285959792">
    <w:abstractNumId w:val="1"/>
  </w:num>
  <w:num w:numId="4" w16cid:durableId="896664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3D66"/>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8E7"/>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2CE"/>
    <w:rsid w:val="002F55FD"/>
    <w:rsid w:val="002F594C"/>
    <w:rsid w:val="00301984"/>
    <w:rsid w:val="00301B0B"/>
    <w:rsid w:val="00301E84"/>
    <w:rsid w:val="00302E7A"/>
    <w:rsid w:val="00303D1B"/>
    <w:rsid w:val="003046B7"/>
    <w:rsid w:val="00306D4E"/>
    <w:rsid w:val="00312A32"/>
    <w:rsid w:val="00315830"/>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56611"/>
    <w:rsid w:val="0036263B"/>
    <w:rsid w:val="00363B62"/>
    <w:rsid w:val="00363EEB"/>
    <w:rsid w:val="003645B0"/>
    <w:rsid w:val="00364B2C"/>
    <w:rsid w:val="003664F1"/>
    <w:rsid w:val="00367E3F"/>
    <w:rsid w:val="00375B25"/>
    <w:rsid w:val="00375F1B"/>
    <w:rsid w:val="00377EA5"/>
    <w:rsid w:val="00377F77"/>
    <w:rsid w:val="00382515"/>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727"/>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1249"/>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3854"/>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673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1DF0"/>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166F"/>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0BD5"/>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2B8F"/>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CDD"/>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7D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D9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D7CB6"/>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A2F"/>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249E"/>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260"/>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5951"/>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 Id="rId28"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2161</TotalTime>
  <Pages>30</Pages>
  <Words>24240</Words>
  <Characters>138173</Characters>
  <Application>Microsoft Office Word</Application>
  <DocSecurity>0</DocSecurity>
  <Lines>1151</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43</cp:revision>
  <cp:lastPrinted>2026-10-09T21:42:00Z</cp:lastPrinted>
  <dcterms:created xsi:type="dcterms:W3CDTF">2026-10-01T06:12:00Z</dcterms:created>
  <dcterms:modified xsi:type="dcterms:W3CDTF">2026-10-09T22:47:00Z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