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yr−10.009\ \mathrm{mm\,yr^{-1}}0.009 mmyr−1 uses molar CO2C_{O_2}CO2​​. However, the solver uses O₂ mass concentration without molar-mass conversion, making the simulated velocity approximately 32×32\times32× higher. Eqs. 15–16 have been corrected to include MO2M_{O_2}MO2​​ explicitly and clarify the mass/molar basis and effective units of kORRk_{\mathrm{ORR}}kORR​.</w:t>
              <w:br/>
              <w:br/>
              <w:t>The corrected ORR ceiling is 0.29 mm yr−10.29\ \mathrm{mm\,yr^{-1}}0.29 mmyr−1, above the simulated disc and stent rates of 0.120.120.12 and 0.155 mm yr−10.155\ \mathrm{mm\,yr^{-1}}0.155 mmyr−1.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late-time increase is only weakly constrained; the curve is well resolved up to about 7 days. [Revise the Results to state that the later increase lies within the experimental scatter, or add replicates.]</w:t>
            </w:r>
          </w:p>
        </w:tc>
        <w:tc>
          <w:tcPr>
            <w:tcW w:w="1587" w:type="dxa"/>
          </w:tcPr>
          <w:p w14:paraId="0ACDE2AA" w14:textId="77777777" w:rsidR="00660073" w:rsidRDefault="00000000">
            <w:r>
              <w:rPr>
                <w:sz w:val="20"/>
              </w:rPr>
              <w:t>In progress</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We have repeated the SA:V comparison with consistent, geometrically derived areas. The disc area from the mesh (219.9 mm²) matches the ideal 10 × 2 mm geometry to 0.1% (SA:V = 1.40 mm⁻¹), and the stent mesh gives a volume of 0.361 mm³ and a surface area of 19.46 mm² (SA:V = 53.9 mm⁻¹). The SA:V ratio of the stent to the disc is therefore 38.5. Scaling the 672 h disc mass loss (0.333% simulated, 0.311% measured) by this ratio gives an SA:V-extrapolated stent mass loss of 12.8% (model-based) or 12.0% (experiment-based). The mechanistic model predicts 6.0%, about half of this, because oxygen transport is restricted in the dense stent geometry: the mean penetration depth is about 1.1 µm for the stent against 2.4 µm for the disc. The SA:V scaling therefore overpredicts, and the mechanistic model adds information beyond bulk geometric scaling. The areas and SA:V in Table S4 have been corrected to the mesh-derived values.</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in the manuscript are being corrected. [Update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[Give the rationale or reference for the second-order dependence.]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0.8-million-element mesh (about 2 h per run), mapped to the fine mesh with 0.004% error. An axisymmetric model would be cheaper for calibration, but the 3D formulation was kept so that calibration and the stent prediction use the same model. [Delete this note if no axisymmetric check is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 (3.4 µm) is reported alongside it. The stent crown (Fig. 7d) gives 8.55 and 4.76 µm (1.8×, a 3.8 µm difference); the isolated 150° arc (radius 0.63 mm) confines its inner side more strongly. [Confirm the depths are taken at the arc apex and add the absolute differences to the Results.]</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