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val="0"/>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A79BE00" w14:textId="77777777" w:rsidR="003F785C" w:rsidRDefault="00E9439A">
            <w:r>
              <w:rPr>
                <w:i w:val="0"/>
                <w:color w:val="000000"/>
                <w:sz w:val="20"/>
              </w:rPr>
              <w:t>Addressed</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val="0"/>
                <w:color w:val="000000"/>
                <w:sz w:val="20"/>
              </w:rPr>
              <w:t>The 13.2× is the ratio of outer (3.72 µm) to inner (0.28 µm) recession for the 150° arc. Its denominator is far below the interface element size, so the ratio is poorly constrained and should not be compared numerically across geometries. We now report the absolute outer–inner difference (3.4 µm for the 150° arc) alongside the ratio, and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35882360" w14:textId="77777777" w:rsidR="003F785C" w:rsidRDefault="00E9439A">
            <w:r>
              <w:rPr>
                <w:i w:val="0"/>
                <w:color w:val="000000"/>
                <w:sz w:val="20"/>
              </w:rPr>
              <w:t>In progress</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val="0"/>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71A74D26" w14:textId="77777777" w:rsidR="003F785C" w:rsidRDefault="00E9439A">
            <w:r>
              <w:rPr>
                <w:i w:val="0"/>
                <w:color w:val="000000"/>
                <w:sz w:val="20"/>
              </w:rPr>
              <w:t>Addressed</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val="0"/>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01042F3A" w14:textId="77777777" w:rsidR="003F785C" w:rsidRDefault="00E9439A">
            <w:r>
              <w:rPr>
                <w:i w:val="0"/>
                <w:color w:val="000000"/>
                <w:sz w:val="20"/>
              </w:rPr>
              <w:t>Addressed</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val="0"/>
                <w:color w:val="000000"/>
                <w:sz w:val="20"/>
              </w:rPr>
              <w:t>Fixed: 'a R²' is now 'an R²', and 'shown in (Figure 4g–i)' is now 'shown in Figure 4g–i'. The capitalised 'Literature' in the text is inside the title of a cited reference (Tortuosity-Porosity Relationships: Review of Empirical Data from Literature), where title-case capitalisation is correct, so it was left unchanged. The mid-sentence 'literature' in the Zn²⁺/pH paragraph was already lower-case.</w:t>
            </w:r>
          </w:p>
        </w:tc>
        <w:tc>
          <w:tcPr>
            <w:tcW w:w="1587" w:type="dxa"/>
          </w:tcPr>
          <w:p w14:paraId="4DF864B7" w14:textId="77777777" w:rsidR="003F785C" w:rsidRDefault="00E9439A">
            <w:r>
              <w:rPr>
                <w:i w:val="0"/>
                <w:color w:val="000000"/>
                <w:sz w:val="20"/>
              </w:rPr>
              <w:t>Addressed</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val="0"/>
                <w:color w:val="000000"/>
                <w:sz w:val="20"/>
              </w:rPr>
              <w:t>The Damköhler number is defined in the Supplementary Information (Eq. S3, Section S1) as the ratio of oxygen consumption by the ORR to oxygen transport to the surface, Da = k_ORR·C_O2 / (D_O2,eff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7C65B298" w14:textId="77777777" w:rsidR="003F785C" w:rsidRDefault="00E9439A">
            <w:r>
              <w:rPr>
                <w:i w:val="0"/>
                <w:color w:val="000000"/>
                <w:sz w:val="20"/>
              </w:rPr>
              <w:t>Addressed</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