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(Section S8, Table S13). O₂ consumed is ~1/32 (24 h) and ~1/24 (168 h) of the stoichiometric need, so recession is not stoichiometrically coupled to O₂ consumption. Stated in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Ablations show both O₂ depletion and corrosion-product accumulation cause the deceleration (D_eff = D: 0.744%; k_f = 0: 0.730%, vs 0.333% baseline at 672 h).</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Vessel geometry and liquid height now specified. Domain-size and O₂-resupply tests added. C_O₂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errors are now comparable: calibration RMSE 0.0173%, validation 0.0159%. The remaining difference is expected: r-SBF has more complex chemistry (Tris buffer, precipitation), while HBSS is simpler and closer to the single ZnO phase in the model. Both are small relative to the experimental scatter (SD 0.115%).</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transition (~40 h disc, ~100 h stent) is a model prediction not validated by data. Measurements before 24 h are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Final BO: two repeats, 28 evaluations each, scored on mass loss only. Best RMSE 0.0173% (repeat 1) and 0.0178% (repeat 2), neither from the initial Latin-hypercube points. The flat landscape is a result: k_ORR is constrained (0.15–0.19) while k_f and k_d are not (2.2–96; 0.6–93). The repeats agree on k_ORR (0.161 vs 0.156), so the choice of optimum does not change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6b) already show parameter behavior, so a separate profile likelihood is not needed. Near-optimal fits constrain k_ORR (0.15–0.19) but not k_f (2.2–96) or k_d (0.6–93). Only k_ORR is reported as identified.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covered the uncertain calibration parameters (ranges in Table S5).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S4.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validation (68.9 h, 50 cores). Calibration used a coarse mesh (37,399 tetrahedra, ~20 min per run) with a bias correction to the fine mesh.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mesh-converged &lt;1%,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k_f = 35, k_d = 27, k_ORR = 0.5: baseline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