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79A591A2"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w:t>
      </w:r>
      <w:r w:rsidRPr="00A60AFE">
        <w:t xml:space="preserve">of the same order of magnitude as </w:t>
      </w:r>
      <w:r w:rsidRPr="00A60AFE">
        <w:t xml:space="preserve">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FD0F4BA"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r w:rsidRPr="001A2EB4">
        <w:t>product</w:t>
      </w:r>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3561975"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w:t>
      </w:r>
      <w:r w:rsidR="00E54A50" w:rsidRPr="001A2EB4">
        <w:rPr>
          <w:rFonts w:cs="Times New Roman"/>
        </w:rPr>
        <w:t xml:space="preserve">corrosion-product </w:t>
      </w:r>
      <w:r w:rsidR="00E54A50" w:rsidRPr="001A2EB4">
        <w:rPr>
          <w:rFonts w:cs="Times New Roman"/>
        </w:rPr>
        <w:t xml:space="preserve">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2876FD">
        <w:rPr>
          <w:rFonts w:cs="Times New Roman"/>
        </w:rPr>
        <w:t xml:space="preserve"> </w:t>
      </w:r>
      <w:r w:rsidR="00BC506D" w:rsidRPr="001A2EB4">
        <w:rPr>
          <w:rFonts w:cs="Times New Roman"/>
        </w:rPr>
        <w:t xml:space="preserve">the corrosion </w:t>
      </w:r>
      <w:r w:rsidR="00BC506D" w:rsidRPr="001A2EB4">
        <w:rPr>
          <w:rFonts w:cs="Times New Roman"/>
        </w:rPr>
        <w:t xml:space="preserve">products are </w:t>
      </w:r>
      <w:r w:rsidR="00BC506D" w:rsidRPr="001A2EB4">
        <w:rPr>
          <w:rFonts w:cs="Times New Roman"/>
        </w:rPr>
        <w:t>modeled as a single ZnO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765554C2"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w:t>
      </w:r>
      <w:r w:rsidR="00246AE0" w:rsidRPr="001A2EB4">
        <w:t>corrosion-product</w:t>
      </w:r>
      <w:r w:rsidR="00246AE0" w:rsidRPr="001A2EB4">
        <w:t xml:space="preserve"> formation, and chloride-induced </w:t>
      </w:r>
      <w:r w:rsidR="00246AE0" w:rsidRPr="001A2EB4">
        <w:t>dissolution</w:t>
      </w:r>
      <w:r w:rsidR="00246AE0" w:rsidRPr="001A2EB4">
        <w:t>,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2A19A93"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w:t>
      </w:r>
      <w:r w:rsidR="005A2B63" w:rsidRPr="001A2EB4">
        <w:rPr>
          <w:rFonts w:cs="Times New Roman"/>
        </w:rPr>
        <w:t>product</w:t>
      </w:r>
      <w:r w:rsidR="005A2B63" w:rsidRPr="001A2EB4">
        <w:rPr>
          <w:rFonts w:cs="Times New Roman"/>
        </w:rPr>
        <w:t xml:space="preserve">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2B14B3AE" w:rsidR="00424107" w:rsidRPr="001A2EB4" w:rsidRDefault="00424107" w:rsidP="00424107">
      <w:pPr>
        <w:pStyle w:val="BodyText"/>
        <w:ind w:firstLine="0"/>
        <w:rPr>
          <w:rFonts w:cs="Times New Roman"/>
        </w:rPr>
      </w:pPr>
      <w:r w:rsidRPr="001A2EB4">
        <w:rPr>
          <w:rFonts w:cs="Times New Roman"/>
        </w:rPr>
        <w:t xml:space="preserve">Chloride acts as a catalytic species, being regenerated during </w:t>
      </w:r>
      <w:r w:rsidRPr="001A2EB4">
        <w:rPr>
          <w:rFonts w:cs="Times New Roman"/>
        </w:rPr>
        <w:t>corrosion-product dissolution rathe</w:t>
      </w:r>
      <w:r w:rsidRPr="001A2EB4">
        <w:rPr>
          <w:rFonts w:cs="Times New Roman"/>
        </w:rPr>
        <w:t xml:space="preserve">r than consumed </w:t>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4825F0CE"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w:t>
      </w:r>
      <w:r w:rsidR="007567C8" w:rsidRPr="007567C8">
        <w:rPr>
          <w:rFonts w:cs="Times New Roman"/>
        </w:rPr>
        <w:t xml:space="preserve"> products.</w:t>
      </w:r>
      <w:r w:rsidR="009F4B7F" w:rsidRPr="001A2EB4">
        <w:rPr>
          <w:rFonts w:cs="Times New Roman"/>
        </w:rPr>
        <w:t xml:space="preserve"> </w:t>
      </w:r>
      <w:r w:rsidR="009F4B7F" w:rsidRPr="001A2EB4">
        <w:rPr>
          <w:rFonts w:cs="Times New Roman"/>
        </w:rPr>
        <w:t xml:space="preserve">At the same time, chloride-induced </w:t>
      </w:r>
      <w:r w:rsidR="009F4B7F" w:rsidRPr="001A2EB4">
        <w:rPr>
          <w:rFonts w:cs="Times New Roman"/>
        </w:rPr>
        <w:t>corrosion-product</w:t>
      </w:r>
      <w:r w:rsidR="009F4B7F" w:rsidRPr="001A2EB4">
        <w:rPr>
          <w:rFonts w:cs="Times New Roman"/>
        </w:rPr>
        <w:t xml:space="preserve"> dissolution releases hydroxide back into the electrolyte</w:t>
      </w:r>
      <w:r w:rsidR="009F4B7F">
        <w:rPr>
          <w:rFonts w:cs="Times New Roman"/>
        </w:rPr>
        <w:t>.</w:t>
      </w:r>
    </w:p>
    <w:p w14:paraId="24B0774D" w14:textId="23E1B49B"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7293E2AE" w:rsidR="00097CCF" w:rsidRPr="001A2EB4" w:rsidRDefault="007879E5" w:rsidP="00097CCF">
      <w:pPr>
        <w:pStyle w:val="BodyText"/>
        <w:ind w:firstLine="0"/>
      </w:pPr>
      <w:r w:rsidRPr="001A2EB4">
        <w:lastRenderedPageBreak/>
        <w:t xml:space="preserve">Here, the corrosion-product </w:t>
      </w:r>
      <w:r w:rsidRPr="001A2EB4">
        <w:t>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6E2CEFF4"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w:t>
      </w:r>
      <w:r w:rsidRPr="001A2EB4">
        <w:rPr>
          <w:rFonts w:cs="Times New Roman"/>
        </w:rPr>
        <w:t>corrosion-product concentration</w:t>
      </w:r>
      <w:r w:rsidRPr="001A2EB4">
        <w:rPr>
          <w:rFonts w:cs="Times New Roman"/>
        </w:rPr>
        <w:t xml:space="preserve">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w:t>
      </w:r>
      <w:r w:rsidRPr="001A2EB4">
        <w:t>corrosion</w:t>
      </w:r>
      <w:r w:rsidRPr="001A2EB4">
        <w:t xml:space="preserve"> </w:t>
      </w:r>
      <w:r w:rsidRPr="001A2EB4">
        <w:t>products accumulate</w:t>
      </w:r>
      <w:r w:rsidRPr="001A2EB4">
        <w:t xml:space="preserve">, </w:t>
      </w:r>
      <w:r w:rsidRPr="001A2EB4">
        <w:t xml:space="preserve">they impede </w:t>
      </w:r>
      <w:r w:rsidRPr="001A2EB4">
        <w:t xml:space="preserve">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CFE633E"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w:t>
      </w:r>
      <w:r w:rsidRPr="001A2EB4">
        <w:t xml:space="preserve">corrosion-product region's </w:t>
      </w:r>
      <w:r w:rsidRPr="001A2EB4">
        <w:t>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oMath>
      <w:r w:rsidRPr="001A2EB4">
        <w:rPr>
          <w:rFonts w:cs="Times New Roman"/>
        </w:rPr>
        <w:t xml:space="preserve"> is the solid molar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 In the implementation, C_O₂ is stored as a mass concentration (g mm⁻³) while [Zn]sol is molar, and Eqs. 15 and 16 are evaluated without the 1/M_O₂ factor (M_O₂ = 32 g mol⁻¹). The calibrated k_ORR is therefore an effective, mass-basis coefficient (0.51 mm h⁻¹ here, equivalent to 16.3 mm h⁻¹ in the mole-consistent form). With this form, the reaction-limited ceiling at k_ORR = 0.51 mm h⁻¹ is 0.29 mm yr⁻¹, above the simulated rates (Section S8).</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4B754F4B"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w:t>
      </w:r>
      <w:r w:rsidR="00024712" w:rsidRPr="001A2EB4">
        <w:t xml:space="preserve">a 30 × 30 × 30 mm </w:t>
      </w:r>
      <w:r w:rsidR="00024712" w:rsidRPr="001A2EB4">
        <w:t>electrolyte domain</w:t>
      </w:r>
      <w:r w:rsidR="00024712" w:rsidRPr="001A2EB4">
        <w:t>, identical for the disc and the stent and larger than</w:t>
      </w:r>
      <w:r w:rsidR="00024712" w:rsidRPr="001A2EB4">
        <w:t xml:space="preserve"> three times the implant characteristic dimension in each direction</w:t>
      </w:r>
      <w:ins w:id="11"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6D0E0AF6" w:rsidR="00D26518" w:rsidRPr="001A2EB4" w:rsidRDefault="00D26518" w:rsidP="00D26518">
      <w:pPr>
        <w:pStyle w:val="BodyText"/>
      </w:pPr>
      <w:r w:rsidRPr="001A2EB4">
        <w:t>Physiological initial and boundary conditions were imposed throughout the electrolyte domain, including continuous oxygen replenishment at the electrolyte-air interface and kinetic flux conditions at the moving metal-electrolyte boundary</w:t>
      </w:r>
      <w:r w:rsidRPr="001A2EB4">
        <w:t xml:space="preserve">. The 48 h medium renewal used in the immersion tests was not modeled explicitly; instead, dissolved oxygen was assumed to be </w:t>
      </w:r>
      <w:r w:rsidRPr="001A2EB4">
        <w:lastRenderedPageBreak/>
        <w:t>continuously replenished at the electrolyte–air interface</w:t>
      </w:r>
      <w:r w:rsidR="00442207">
        <w:t xml:space="preserve"> and </w:t>
      </w:r>
      <w:r w:rsidRPr="001A2EB4">
        <w:t>no natural convection was considered (static conditions)</w:t>
      </w:r>
      <w:r w:rsidRPr="001A2EB4">
        <w:t xml:space="preserve">.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w:t>
      </w:r>
      <w:r w:rsidR="00C500E2" w:rsidRPr="001A2EB4">
        <w:t>corrosion-product</w:t>
      </w:r>
      <w:r w:rsidR="00C500E2" w:rsidRPr="001A2EB4">
        <w:t xml:space="preserve">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 A global mass balance shows that the O₂ consumed at the interface is about 1/32 of the stoichiometric requirement for the Zn lost at 24 h and about 1/24 at 168 h (Section S8), so Zn recession is not stoichiometrically coupled to O₂ consumption in the present formulation.</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2"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2"/>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113AFA93"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Each parameter was varied by factors of 0.2 and 5 around the baseline values while the remaining parameters were held constant. The resulting changes in mass loss, corrosion-</w:t>
      </w:r>
      <w:r w:rsidRPr="001A2EB4">
        <w:t>product saturation (F/Fₘₐₓ)</w:t>
      </w:r>
      <w:r w:rsidRPr="001A2EB4">
        <w:t xml:space="preserve">, and interfacial oxygen concentration were analyzed to </w:t>
      </w:r>
      <w:r w:rsidR="00952D2B" w:rsidRPr="001A2EB4">
        <w:t>investigate</w:t>
      </w:r>
      <w:r w:rsidRPr="001A2EB4">
        <w:t xml:space="preserve"> the roles of passivation, </w:t>
      </w:r>
      <w:r w:rsidRPr="001A2EB4">
        <w:t xml:space="preserve">corrosion-product </w:t>
      </w:r>
      <w:r w:rsidRPr="001A2EB4">
        <w:t>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lastRenderedPageBreak/>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38D2082F" w:rsidR="000631D6" w:rsidRPr="001A2EB4" w:rsidRDefault="000631D6" w:rsidP="000631D6">
      <w:pPr>
        <w:pStyle w:val="FirstParagraph"/>
        <w:ind w:firstLine="360"/>
        <w:rPr>
          <w:rFonts w:cs="Times New Roman"/>
        </w:rPr>
      </w:pPr>
      <w:bookmarkStart w:id="13"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C90C1D2"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2% against the calibration dataset. These results show that the proposed three-parameter framework can closely reproduce the calibration measurements. The combination of low calibration error and rapid convergence supports the framework’s potential as a basis for predictive Zn biodegradation modeling, subject to independent validation.</w:t>
      </w:r>
      <w:r w:rsidR="00B31A12" w:rsidRPr="001A2EB4">
        <w:t xml:space="preserve">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4"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4"/>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5" w:name="_Ref238636197"/>
      <w:bookmarkStart w:id="16"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5"/>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5</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5.0</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bookmarkEnd w:id="16"/>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7ED069" w:rsidR="00F10625" w:rsidRPr="001A2EB4" w:rsidRDefault="0058436A" w:rsidP="00124B18">
      <w:pPr>
        <w:pStyle w:val="BodyText"/>
      </w:pPr>
      <w:r w:rsidRPr="0058436A">
        <w:t xml:space="preserve">The associated </w:t>
      </w:r>
      <w:r w:rsidRPr="0058436A">
        <w:t xml:space="preserve">corrosion-product saturation </w:t>
      </w:r>
      <w:r w:rsidRPr="0058436A">
        <w:t>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w:t>
      </w:r>
      <w:r w:rsidR="005B7B5E" w:rsidRPr="001A2EB4">
        <w:t xml:space="preserve">corrosion-product </w:t>
      </w:r>
      <w:r w:rsidR="005B7B5E" w:rsidRPr="001A2EB4">
        <w:t xml:space="preserve">growth term, resulting in faster </w:t>
      </w:r>
      <w:r w:rsidR="005B7B5E" w:rsidRPr="001A2EB4">
        <w:t xml:space="preserve">corrosion-product </w:t>
      </w:r>
      <w:r w:rsidR="005B7B5E" w:rsidRPr="001A2EB4">
        <w:t xml:space="preserve">accumulation and greater </w:t>
      </w:r>
      <w:r w:rsidR="005B7B5E" w:rsidRPr="001A2EB4">
        <w:t>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w:t>
      </w:r>
      <w:r w:rsidR="005B7B5E" w:rsidRPr="001A2EB4">
        <w:t xml:space="preserve">corrosion-product </w:t>
      </w:r>
      <w:r w:rsidR="005B7B5E" w:rsidRPr="001A2EB4">
        <w:t xml:space="preserve">dissolution term, reducing </w:t>
      </w:r>
      <w:r w:rsidR="005B7B5E" w:rsidRPr="001A2EB4">
        <w:t xml:space="preserve">corrosion-product </w:t>
      </w:r>
      <w:r w:rsidR="005B7B5E" w:rsidRPr="001A2EB4">
        <w:t xml:space="preserve">retention and leading to lower </w:t>
      </w:r>
      <w:r w:rsidR="005B7B5E" w:rsidRPr="001A2EB4">
        <w:t>corrosion-product saturation</w:t>
      </w:r>
      <w:r w:rsidR="005B7B5E" w:rsidRPr="001A2EB4">
        <w:t xml:space="preserve"> </w:t>
      </w:r>
      <w:r w:rsidR="000631D6" w:rsidRPr="001A2EB4">
        <w:rPr>
          <w:b/>
          <w:bCs/>
        </w:rPr>
        <w:lastRenderedPageBreak/>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w:t>
      </w:r>
      <w:r w:rsidRPr="001A2EB4">
        <w:t>corrosion-product saturation</w:t>
      </w:r>
      <w:r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 xml:space="preserve">because oxygen reduction influences </w:t>
      </w:r>
      <w:r w:rsidR="005B7B5E" w:rsidRPr="001A2EB4">
        <w:t xml:space="preserve">corrosion-product </w:t>
      </w:r>
      <w:r w:rsidR="005B7B5E" w:rsidRPr="001A2EB4">
        <w:t>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w:t>
      </w:r>
      <w:r w:rsidR="005B7B5E" w:rsidRPr="001A2EB4">
        <w:t xml:space="preserve">corrosion-product </w:t>
      </w:r>
      <w:r w:rsidR="005B7B5E" w:rsidRPr="001A2EB4">
        <w:t xml:space="preserve">formation and dissolution, making </w:t>
      </w:r>
      <w:r w:rsidR="005B7B5E" w:rsidRPr="001A2EB4">
        <w:t>corrosion-product saturation</w:t>
      </w:r>
      <w:r w:rsidR="005B7B5E" w:rsidRPr="001A2EB4">
        <w:t xml:space="preserv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68EC50EC"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w:t>
      </w:r>
      <w:r w:rsidRPr="001A2EB4">
        <w:rPr>
          <w:rFonts w:cs="Times New Roman"/>
        </w:rPr>
        <w:t>corrosion-product</w:t>
      </w:r>
      <w:r w:rsidRPr="001A2EB4">
        <w:rPr>
          <w:rFonts w:cs="Times New Roman"/>
        </w:rPr>
        <w:t xml:space="preserve"> </w:t>
      </w:r>
      <w:r w:rsidRPr="001A2EB4">
        <w:rPr>
          <w:rFonts w:cs="Times New Roman"/>
        </w:rPr>
        <w:t>saturation</w:t>
      </w:r>
      <w:r w:rsidRPr="001A2EB4">
        <w:rPr>
          <w:rFonts w:cs="Times New Roman"/>
        </w:rPr>
        <w:t>,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w:t>
      </w:r>
      <w:r w:rsidR="007600C0" w:rsidRPr="001A2EB4">
        <w:rPr>
          <w:rFonts w:cs="Times New Roman"/>
        </w:rPr>
        <w:t xml:space="preserve"> products </w:t>
      </w:r>
      <w:r w:rsidR="007600C0" w:rsidRPr="001A2EB4">
        <w:rPr>
          <w:rFonts w:cs="Times New Roman"/>
        </w:rPr>
        <w:t>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w:t>
      </w:r>
      <w:r w:rsidR="007600C0" w:rsidRPr="001A2EB4">
        <w:rPr>
          <w:rFonts w:cs="Times New Roman"/>
        </w:rPr>
        <w:t>corrosion-product saturation</w:t>
      </w:r>
      <w:r w:rsidR="007600C0" w:rsidRPr="001A2EB4">
        <w:rPr>
          <w:rFonts w:cs="Times New Roman"/>
        </w:rPr>
        <w:t>.</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1EF0494" w:rsidR="000631D6" w:rsidRPr="001A2EB4" w:rsidRDefault="000631D6" w:rsidP="000631D6">
      <w:pPr>
        <w:pStyle w:val="Captions"/>
        <w:rPr>
          <w:rFonts w:cs="Times New Roman"/>
        </w:rPr>
      </w:pPr>
      <w:bookmarkStart w:id="17"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7"/>
      <w:r w:rsidRPr="001A2EB4">
        <w:rPr>
          <w:b/>
          <w:bCs/>
        </w:rPr>
        <w:t>.</w:t>
      </w:r>
      <w:r w:rsidRPr="001A2EB4">
        <w:t xml:space="preserve"> Local parameter sweeps of kinetic parameters. Panels (a–c) show cumulative mass loss (%), panels (d–f) show </w:t>
      </w:r>
      <w:r w:rsidRPr="001A2EB4">
        <w:t xml:space="preserve">the normalized corrosion-product saturation, F/Fₘₐₓ </w:t>
      </w:r>
      <w:r w:rsidRPr="001A2EB4">
        <w:t>(%), and panels (g</w:t>
      </w:r>
      <w:del w:id="18" w:author="Claude" w:date="2026-10-08T04:28:00Z">
        <w:r>
          <w:delText>-</w:delText>
        </w:r>
      </w:del>
      <w:ins w:id="19" w:author="Claude" w:date="2026-10-08T04:28:00Z">
        <w:r w:rsidRPr="001A2EB4">
          <w:t>–</w:t>
        </w:r>
      </w:ins>
      <w:r w:rsidRPr="001A2EB4">
        <w:t>i)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3"/>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0" w:name="_Ref238632622"/>
      <w:bookmarkStart w:id="21"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0"/>
      <w:bookmarkEnd w:id="21"/>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C2EF57B"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w:t>
      </w:r>
      <w:r w:rsidR="000631D6" w:rsidRPr="001A2EB4">
        <w:rPr>
          <w:rFonts w:cs="Times New Roman"/>
        </w:rPr>
        <w:t>an</w:t>
      </w:r>
      <w:r w:rsidR="000631D6" w:rsidRPr="001A2EB4">
        <w:rPr>
          <w:rFonts w:cs="Times New Roman"/>
        </w:rPr>
        <w:t xml:space="preserve">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50B7957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w:t>
      </w:r>
      <w:r w:rsidRPr="001A2EB4">
        <w:rPr>
          <w:rFonts w:cs="Times New Roman"/>
        </w:rPr>
        <w:t xml:space="preserve">diffuse corrosion-product accumulation </w:t>
      </w:r>
      <w:r w:rsidRPr="001A2EB4">
        <w:rPr>
          <w:rFonts w:cs="Times New Roman"/>
        </w:rPr>
        <w:t xml:space="preserve">by 168 h and developing into a </w:t>
      </w:r>
      <w:r w:rsidRPr="001A2EB4">
        <w:rPr>
          <w:rFonts w:cs="Times New Roman"/>
        </w:rPr>
        <w:t xml:space="preserve">homogenized corrosion-product </w:t>
      </w:r>
      <w:r w:rsidRPr="001A2EB4">
        <w:rPr>
          <w:rFonts w:cs="Times New Roman"/>
        </w:rPr>
        <w:t>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w:t>
      </w:r>
      <w:r w:rsidRPr="001A2EB4">
        <w:rPr>
          <w:rFonts w:cs="Times New Roman"/>
        </w:rPr>
        <w:t>near-surface corrosion-product field developed</w:t>
      </w:r>
      <w:r w:rsidRPr="001A2EB4">
        <w:rPr>
          <w:rFonts w:cs="Times New Roman"/>
        </w:rPr>
        <w:t xml:space="preserve">,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w:t>
      </w:r>
      <w:r w:rsidRPr="001A2EB4">
        <w:rPr>
          <w:rFonts w:cs="Times New Roman"/>
        </w:rPr>
        <w:t>corrosion-product</w:t>
      </w:r>
      <w:r w:rsidRPr="001A2EB4">
        <w:rPr>
          <w:rFonts w:cs="Times New Roman"/>
        </w:rPr>
        <w:t xml:space="preserve">-induced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22"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2"/>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30453738"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Pr="001A2EB4">
        <w:rPr>
          <w:rFonts w:cs="Times New Roman"/>
        </w:rPr>
        <w:t>,</w:t>
      </w:r>
      <w:r w:rsidRPr="001A2EB4">
        <w:rPr>
          <w:rFonts w:cs="Times New Roman"/>
        </w:rPr>
        <w:t xml:space="preserve"> </w:t>
      </w:r>
      <w:r w:rsidRPr="001A2EB4">
        <w:rPr>
          <w:rFonts w:cs="Times New Roman"/>
        </w:rPr>
        <w:t>with errors at 336 h of 44%</w:t>
      </w:r>
      <w:r w:rsidRPr="001A2EB4">
        <w:rPr>
          <w:rFonts w:cs="Times New Roman"/>
        </w:rPr>
        <w:t xml:space="preserve"> for Zn²⁺ and </w:t>
      </w:r>
      <w:r w:rsidRPr="001A2EB4">
        <w:rPr>
          <w:rFonts w:cs="Times New Roman"/>
        </w:rPr>
        <w:t xml:space="preserve">2.8% </w:t>
      </w:r>
      <w:r w:rsidRPr="001A2EB4">
        <w:rPr>
          <w:rFonts w:cs="Times New Roman"/>
        </w:rPr>
        <w:t xml:space="preserve">for </w:t>
      </w:r>
      <w:proofErr w:type="spellStart"/>
      <w:r w:rsidRPr="001A2EB4">
        <w:rPr>
          <w:rFonts w:cs="Times New Roman"/>
        </w:rPr>
        <w:t>pH.</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lastRenderedPageBreak/>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3"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3"/>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4"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5"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5"/>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213D79E5"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w:t>
      </w:r>
      <w:r w:rsidR="004E4735" w:rsidRPr="004E4735">
        <w:t>4</w:t>
      </w:r>
      <w:r w:rsidR="004E4735" w:rsidRPr="004E4735">
        <w:t xml:space="preserve"> to 2.7 µm across the curved-wire configurations (30°, 90°, and 150° arcs) and from 2.1 to 2.</w:t>
      </w:r>
      <w:r w:rsidR="004E4735" w:rsidRPr="004E4735">
        <w:t xml:space="preserve">4 </w:t>
      </w:r>
      <w:r w:rsidR="004E4735" w:rsidRPr="004E4735">
        <w:t xml:space="preserve">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6"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6"/>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ins w:id="27" w:author="Claude" w:date="2026-10-08T04:28:00Z">
        <w:r w:rsidR="001D5CB5" w:rsidRPr="001A2EB4">
          <w:t xml:space="preserve"> </w:t>
        </w:r>
      </w:ins>
      <w:r w:rsidR="001D5CB5" w:rsidRPr="001A2EB4">
        <w:t>(error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0B19C39C"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r w:rsidR="005757F6">
        <w:t xml:space="preserve"> products are </w:t>
      </w:r>
      <w:r w:rsidR="005757F6">
        <w:t xml:space="preserve">treated as a homogenized </w:t>
      </w:r>
      <w:proofErr w:type="spellStart"/>
      <w:r w:rsidR="005757F6">
        <w:t>ZnO</w:t>
      </w:r>
      <w:proofErr w:type="spellEnd"/>
      <w:r w:rsidR="005757F6">
        <w:t xml:space="preserve">-based </w:t>
      </w:r>
      <w:r w:rsidR="005757F6">
        <w:t xml:space="preserve">field </w:t>
      </w:r>
      <w:r w:rsidR="005757F6">
        <w:t>rather than</w:t>
      </w:r>
      <w:r w:rsidR="005757F6">
        <w:t xml:space="preserve"> a discrete surface film or </w:t>
      </w:r>
      <w:r w:rsidR="005757F6">
        <w:t>a heterogeneous, composition-dependent structure</w:t>
      </w:r>
      <w:r w:rsidR="00492114">
        <w:t xml:space="preserve">.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w:t>
      </w:r>
      <w:r w:rsidR="005757F6">
        <w:lastRenderedPageBreak/>
        <w:t xml:space="preserve">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Because O₂ consumption at the interface is not stoichiometrically coupled to Zn loss, the absolute interfacial O₂ depletion in Figures 4g–i and 5d is underestimated relative to a stoichiometric model, and these panels should be read as relative patterns.</w:t>
      </w:r>
    </w:p>
    <w:p w14:paraId="3414BFB8" w14:textId="0FB07F41" w:rsidR="002E4C03" w:rsidRDefault="005757F6" w:rsidP="005757F6">
      <w:pPr>
        <w:pStyle w:val="BodyText"/>
      </w:pPr>
      <w:r w:rsidRPr="005757F6">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w:t>
      </w:r>
      <w:r w:rsidRPr="005757F6">
        <w:t>high-fidelity</w:t>
      </w:r>
      <w:r w:rsidRPr="005757F6">
        <w:t xml:space="preserve">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pPr>
    </w:p>
    <w:p w14:paraId="6233A8DD" w14:textId="77777777" w:rsidR="00527833" w:rsidRDefault="00527833" w:rsidP="00711ECD">
      <w:pPr>
        <w:pStyle w:val="BodyText"/>
        <w:ind w:firstLine="0"/>
      </w:pPr>
    </w:p>
    <w:p w14:paraId="1A4D172F" w14:textId="77777777" w:rsidR="00527833" w:rsidRPr="001A2EB4" w:rsidRDefault="00527833" w:rsidP="00711ECD">
      <w:pPr>
        <w:pStyle w:val="BodyText"/>
        <w:ind w:firstLine="0"/>
      </w:pPr>
    </w:p>
    <w:bookmarkEnd w:id="24"/>
    <w:p w14:paraId="516B3B1A" w14:textId="77777777" w:rsidR="000631D6" w:rsidRPr="001A2EB4" w:rsidRDefault="000631D6" w:rsidP="000631D6">
      <w:pPr>
        <w:pStyle w:val="Heading1"/>
      </w:pPr>
      <w:r w:rsidRPr="001A2EB4">
        <w:lastRenderedPageBreak/>
        <w:t>Conclusions</w:t>
      </w:r>
    </w:p>
    <w:p w14:paraId="0E48EE87" w14:textId="2732CCA9" w:rsidR="00C5098B" w:rsidRDefault="005B5344" w:rsidP="0063546E">
      <w:pPr>
        <w:pStyle w:val="BodyText"/>
      </w:pPr>
      <w:bookmarkStart w:id="28"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r w:rsidRPr="005B5344">
        <w:t xml:space="preserve"> </w:t>
      </w:r>
      <w:r w:rsidRPr="005B5344">
        <w:t xml:space="preserve">of the same order of magnitude as </w:t>
      </w:r>
      <w:r w:rsidRPr="005B5344">
        <w:t xml:space="preserve">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8"/>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t>
      </w:r>
      <w:r w:rsidRPr="001A2EB4">
        <w:lastRenderedPageBreak/>
        <w:t>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Shearier,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Atrens, G. Song, M. Liu, Z. Shi, F. Cao, and M. S. Dargusch,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Katarivas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Vojtěch, J. Kubásek, J. Šerák, and P. Novák, “Mechanical and Corrosion Properties of Newly Developed Biodegradable Zn-Based Alloys for Bone Fixation,” </w:t>
      </w:r>
      <w:r w:rsidRPr="00CE255A">
        <w:rPr>
          <w:i/>
          <w:iCs/>
        </w:rPr>
        <w:t>Acta Biomaterialia</w:t>
      </w:r>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r w:rsidRPr="00CE255A">
        <w:rPr>
          <w:i/>
          <w:iCs/>
        </w:rPr>
        <w:t>npj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Willumeit-Römer, and B. Zeller-Plumhoff,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Petrini, M. Vedani, S. Trasatti, and F. Migliavacca,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Acta Biomaterialia</w:t>
      </w:r>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Barzegari, D. Mei, S. V. Lamaka,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Bajger, J. M. A. Ashbourn, V. Manhas, Y. Guyot, K. Lietaert, and L. Geris, “Mathematical Modelling of the Degradation Behaviour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Medhekar, G. S. Frankel, and N. Birbilis,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Nishikata, and T. Tsuru,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Wallmersperger, “Modeling the Uniform Corrosion Behavior of Zinc in Salt Spray Testing,” </w:t>
      </w:r>
      <w:r w:rsidRPr="00CE255A">
        <w:rPr>
          <w:i/>
          <w:iCs/>
        </w:rPr>
        <w:t>npj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Kistanov, A. A. Izosimov, and E. A. Korznikova,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AlBaraghtheh, R. Willumeit‐Römer, and B. Zeller‐Plumhoff,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Su, L. Qiao, and Y. Yan, “Insight into the Corrosion Behaviour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Drelich,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Golovaty,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Acta Biomaterialia</w:t>
      </w:r>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Marmet, M. Fingerle, A. Wiegmann,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Tkacz, K. Slouková, J. Minda,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Kokubo, and H. Takadama,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Volinsky,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Mostaed, M. Sikora-Jasinska, J. W. Drelich, and M. Vedani, “Zinc-Based Alloys for Degradable Vascular Stent Applications,” </w:t>
      </w:r>
      <w:r w:rsidRPr="00CE255A">
        <w:rPr>
          <w:i/>
          <w:iCs/>
        </w:rPr>
        <w:t>Acta Biomaterialia</w:t>
      </w:r>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A7B23" w14:textId="77777777" w:rsidR="009B2CE9" w:rsidRDefault="009B2CE9">
      <w:r>
        <w:separator/>
      </w:r>
    </w:p>
  </w:endnote>
  <w:endnote w:type="continuationSeparator" w:id="0">
    <w:p w14:paraId="05E81DBD" w14:textId="77777777" w:rsidR="009B2CE9" w:rsidRDefault="009B2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7DD89" w14:textId="77777777" w:rsidR="009B2CE9" w:rsidRDefault="009B2CE9">
      <w:r>
        <w:separator/>
      </w:r>
    </w:p>
  </w:footnote>
  <w:footnote w:type="continuationSeparator" w:id="0">
    <w:p w14:paraId="376C2C45" w14:textId="77777777" w:rsidR="009B2CE9" w:rsidRDefault="009B2C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74631635">
    <w:abstractNumId w:val="2"/>
  </w:num>
  <w:num w:numId="2" w16cid:durableId="829520197">
    <w:abstractNumId w:val="0"/>
  </w:num>
  <w:num w:numId="3" w16cid:durableId="2029675556">
    <w:abstractNumId w:val="1"/>
  </w:num>
  <w:num w:numId="4" w16cid:durableId="15115997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1871</TotalTime>
  <Pages>30</Pages>
  <Words>24558</Words>
  <Characters>139987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122</cp:revision>
  <cp:lastPrinted>2026-10-07T06:32:00Z</cp:lastPrinted>
  <dcterms:created xsi:type="dcterms:W3CDTF">2026-10-01T06:12:00Z</dcterms:created>
  <dcterms:modified xsi:type="dcterms:W3CDTF">2026-10-08T04:44:00Z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