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We confirm the estimate: Eq. 15 evaluated with C_O₂ in mol mm⁻³ gives 1.0 × 10⁻⁶ mm h⁻¹ (0.009 mm yr⁻¹). Our audit found that the solver stores C_O₂ as a mass concentration (g mm⁻³) and evaluates Eqs. 15–16 without dividing by M_O₂ = 32 g mol⁻¹. The reported k_ORR is therefore an effective, mass-basis coefficient (16.3 mm h⁻¹ if written in the mole-consistent form). With the implemented form, the reaction ceiling at k_ORR = 0.51 mm h⁻¹ is 0.29 mm yr⁻¹ (about 3% mass loss in 28 days), above the simulated rates (0.12 mm yr⁻¹ for the disc, 0.155 mm yr⁻¹ for the stent) and the measured 0.31%, so the reported results are consistent with the equations as implemented; only the printed equations were inconsistent. The Methods now state this basis (the 1/M_O₂ factor, the effective k_ORR and the ceiling) and refer to Section S8. We keep k_ORR = 0.51 mm h⁻¹ in Table 2, because it is the value used in the implemented form and in the O₂ sink.</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response to A1.1. The corrosion rates in Figures 5b and 6b are the values computed by the implemented model, and they are below the reaction ceiling of 0.29 mm yr⁻¹ at k_ORR = 0.51 mm h⁻¹.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reaction ceilings for k_ORR = 0.04, 0.2 and 1 are 0.06, 0.30 and 1.5%, and the simulated mass losses are 0.04, 0.20 and 0.63%, all below the ceiling.</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We added a global mass balance (Section S8, Table S13). The O₂ consumed at the interface is about 1/32 of the stoichiometric requirement for the Zn lost at 24 h and about 1/24 at 168 h, for all three k_ORR values tested. This confirms that k_ORR acts as an effective coefficient and that Zn recession is not stoichiometrically coupled to O₂ consumption in the present formulation. The Methods and Limitations now state this, and note that the absolute interfacial O₂ depletion in Figs. 4g–i and 5d is underestimated relative to a stoichiometric model, so these panels show relative patterns.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see A1.1. The area-normalisation of the corrosion rate is unchanged, and the effective-coefficient basis of k_ORR is now stated in the Methods.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In progress</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In progress</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In progress</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color w:val="808080"/>
                <w:sz w:val="20"/>
              </w:rPr>
              <w:t>[To be completed]</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color w:val="000000"/>
                <w:sz w:val="20"/>
              </w:rPr>
              <w:lastRenderedPageBreak/>
              <w:t xml:space="preserve">The in vivo timescale cannot justify a </w:t>
            </w:r>
            <w:proofErr w:type="spellStart"/>
            <w:r w:rsidRPr="00991BBA">
              <w:rPr>
                <w:color w:val="000000"/>
                <w:sz w:val="20"/>
              </w:rPr>
              <w:t>ZnO</w:t>
            </w:r>
            <w:proofErr w:type="spellEnd"/>
            <w:r w:rsidRPr="00991BBA">
              <w:rPr>
                <w:color w:val="000000"/>
                <w:sz w:val="20"/>
              </w:rPr>
              <w:t xml:space="preserve">-only representation for the in vitro simulations, as additional corrosion products form within hours to days. The in vivo justification has therefore been removed, and </w:t>
            </w:r>
            <w:r w:rsidRPr="00991BBA">
              <w:rPr>
                <w:color w:val="000000"/>
                <w:sz w:val="20"/>
              </w:rPr>
              <w:lastRenderedPageBreak/>
              <w:t xml:space="preserve">the model is now described as a homogenized </w:t>
            </w:r>
            <w:proofErr w:type="spellStart"/>
            <w:r w:rsidRPr="00991BBA">
              <w:rPr>
                <w:color w:val="000000"/>
                <w:sz w:val="20"/>
              </w:rPr>
              <w:t>ZnO</w:t>
            </w:r>
            <w:proofErr w:type="spellEnd"/>
            <w:r w:rsidRPr="00991BBA">
              <w:rPr>
                <w:color w:val="000000"/>
                <w:sz w:val="20"/>
              </w:rPr>
              <w:t>-based representation that does not explicitly resolve phosphate-, carbonate-, calcium-, or chloride-containing phases.</w:t>
            </w:r>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color w:val="000000"/>
                <w:sz w:val="20"/>
              </w:rPr>
              <w:t>The first measurement is at 24 h, so the experiments do not constrain the reaction-to-diffusion transition, which is a model-derived quantity. The simulations themselves resolve this period: the time step is 0.25 h (Table S4</w:t>
            </w:r>
            <w:proofErr w:type="gramStart"/>
            <w:r>
              <w:rPr>
                <w:color w:val="000000"/>
                <w:sz w:val="20"/>
              </w:rPr>
              <w:t>)</w:t>
            </w:r>
            <w:proofErr w:type="gramEnd"/>
            <w:r>
              <w:rPr>
                <w:color w:val="000000"/>
                <w:sz w:val="20"/>
              </w:rPr>
              <w:t xml:space="preserve"> and the fields and mass loss were saved at 1 h intervals, so the </w:t>
            </w:r>
            <w:proofErr w:type="spellStart"/>
            <w:r>
              <w:rPr>
                <w:color w:val="000000"/>
                <w:sz w:val="20"/>
              </w:rPr>
              <w:t>Damköhler</w:t>
            </w:r>
            <w:proofErr w:type="spellEnd"/>
            <w:r>
              <w:rPr>
                <w:color w:val="000000"/>
                <w:sz w:val="20"/>
              </w:rPr>
              <w:t xml:space="preserve">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14:paraId="6BB41582" w14:textId="77777777" w:rsidR="00660073" w:rsidRDefault="00000000">
            <w:r>
              <w:rPr>
                <w:sz w:val="20"/>
              </w:rPr>
              <w:t>In progress</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color w:val="000000"/>
                <w:sz w:val="20"/>
              </w:rPr>
              <w:t xml:space="preserve">We agree. The 14-day and 28-day masses (3.03 ± 0.74 and 3.67 ± 1.33 mg, n = 3; a </w:t>
            </w:r>
            <w:r>
              <w:rPr>
                <w:color w:val="000000"/>
                <w:sz w:val="20"/>
              </w:rPr>
              <w:lastRenderedPageBreak/>
              <w:t>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color w:val="000000"/>
                <w:sz w:val="20"/>
              </w:rPr>
              <w:t xml:space="preserve">We agree that </w:t>
            </w:r>
            <w:proofErr w:type="gramStart"/>
            <w:r>
              <w:rPr>
                <w:color w:val="000000"/>
                <w:sz w:val="20"/>
              </w:rPr>
              <w:t>a correlation</w:t>
            </w:r>
            <w:proofErr w:type="gramEnd"/>
            <w:r>
              <w:rPr>
                <w:color w:val="000000"/>
                <w:sz w:val="20"/>
              </w:rPr>
              <w:t xml:space="preserve">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14:paraId="6514AEA0" w14:textId="77777777" w:rsidR="00660073" w:rsidRDefault="00000000">
            <w:r>
              <w:rPr>
                <w:sz w:val="20"/>
              </w:rPr>
              <w:t>In progress</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color w:val="000000"/>
                <w:sz w:val="20"/>
              </w:rPr>
              <w:t xml:space="preserve">The relative influence of </w:t>
            </w:r>
            <w:proofErr w:type="spellStart"/>
            <w:r>
              <w:rPr>
                <w:color w:val="000000"/>
                <w:sz w:val="20"/>
              </w:rPr>
              <w:t>k_f</w:t>
            </w:r>
            <w:proofErr w:type="spellEnd"/>
            <w:r>
              <w:rPr>
                <w:color w:val="000000"/>
                <w:sz w:val="20"/>
              </w:rPr>
              <w:t xml:space="preserve"> is addressed in the response to A2.2 (Figure 3a ranks </w:t>
            </w:r>
            <w:proofErr w:type="spellStart"/>
            <w:r>
              <w:rPr>
                <w:color w:val="000000"/>
                <w:sz w:val="20"/>
              </w:rPr>
              <w:t>k_f</w:t>
            </w:r>
            <w:proofErr w:type="spellEnd"/>
            <w:r>
              <w:rPr>
                <w:color w:val="000000"/>
                <w:sz w:val="20"/>
              </w:rPr>
              <w:t xml:space="preserve"> below C_O₂,0, </w:t>
            </w:r>
            <w:proofErr w:type="spellStart"/>
            <w:r>
              <w:rPr>
                <w:color w:val="000000"/>
                <w:sz w:val="20"/>
              </w:rPr>
              <w:t>k_ORR</w:t>
            </w:r>
            <w:proofErr w:type="spellEnd"/>
            <w:r>
              <w:rPr>
                <w:color w:val="000000"/>
                <w:sz w:val="20"/>
              </w:rPr>
              <w:t xml:space="preserve">, </w:t>
            </w:r>
            <w:proofErr w:type="spellStart"/>
            <w:r>
              <w:rPr>
                <w:color w:val="000000"/>
                <w:sz w:val="20"/>
              </w:rPr>
              <w:t>k_d</w:t>
            </w:r>
            <w:proofErr w:type="spellEnd"/>
            <w:r>
              <w:rPr>
                <w:color w:val="000000"/>
                <w:sz w:val="20"/>
              </w:rPr>
              <w:t xml:space="preserve"> and D_O₂). [Parameter correlation / profile-likelihood analysis to be completed.]</w:t>
            </w:r>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We agree that oxygen-reduction-limited dissolution is a model assumption (Eqs. 1–2), so the Morris ranking alone cannot show that oxygen controls degradation. The Methods state oxygen-limited dissolution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[Soften 'demonstrates' in the Abstract and 'identified … primary driver' in the Conclusions to match.]</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We have repeated the SA:V comparison with consistent, geometrically derived areas. The disc area from the mesh (219.9 mm²) matches the ideal 10 × 2 mm geometry to 0.1% (SA:V = 1.40 mm⁻¹), and the stent mesh gives a volume of 0.361 mm³ and a surface area of 19.46 mm² (SA:V = 53.9 mm⁻¹). The SA:V ratio of the stent to the disc is therefore 38.5. Scaling the 672 h disc mass loss (0.333% simulated, 0.311% measured) by this ratio gives an SA:V-extrapolated stent mass loss of 12.8% (model-based) or 12.0% (experiment-based). The mechanistic model predicts 6.0%, about half of this, because oxygen transport is restricted in the dense stent geometry: the mean penetration depth is about 1.1 µm for the stent against 2.4 µm for the disc. The SA:V scaling therefore overpredicts, and the mechanistic model adds information beyond bulk geometric scaling. The areas and SA:V in Table S4 have been corrected to the mesh-derived values. [Reconcile the stent corrosion rate (0.0596 mm/yr at 672 h) with the 6% mass loss: with the mesh area it implies about 0.015 mm/yr.]</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color w:val="000000"/>
                <w:sz w:val="20"/>
              </w:rPr>
              <w:t xml:space="preserve">The implementation is mass-based. F and </w:t>
            </w:r>
            <w:proofErr w:type="spellStart"/>
            <w:r>
              <w:rPr>
                <w:color w:val="000000"/>
                <w:sz w:val="20"/>
              </w:rPr>
              <w:t>F_max</w:t>
            </w:r>
            <w:proofErr w:type="spellEnd"/>
            <w:r>
              <w:rPr>
                <w:color w:val="000000"/>
                <w:sz w:val="20"/>
              </w:rPr>
              <w:t xml:space="preserve"> are in g mm⁻³ (</w:t>
            </w:r>
            <w:proofErr w:type="spellStart"/>
            <w:r>
              <w:rPr>
                <w:color w:val="000000"/>
                <w:sz w:val="20"/>
              </w:rPr>
              <w:t>F_max</w:t>
            </w:r>
            <w:proofErr w:type="spellEnd"/>
            <w:r>
              <w:rPr>
                <w:color w:val="000000"/>
                <w:sz w:val="20"/>
              </w:rPr>
              <w:t xml:space="preserve"> = </w:t>
            </w:r>
            <w:proofErr w:type="spellStart"/>
            <w:r>
              <w:rPr>
                <w:color w:val="000000"/>
                <w:sz w:val="20"/>
              </w:rPr>
              <w:t>ρ_film</w:t>
            </w:r>
            <w:proofErr w:type="spellEnd"/>
            <w:r>
              <w:rPr>
                <w:color w:val="000000"/>
                <w:sz w:val="20"/>
              </w:rPr>
              <w:t xml:space="preserve">(1−ε)), and Cl⁻ enters the dissolution rate as a molar concentration (mol L⁻¹). The correct unit for </w:t>
            </w:r>
            <w:proofErr w:type="spellStart"/>
            <w:r>
              <w:rPr>
                <w:color w:val="000000"/>
                <w:sz w:val="20"/>
              </w:rPr>
              <w:t>k_d</w:t>
            </w:r>
            <w:proofErr w:type="spellEnd"/>
            <w:r>
              <w:rPr>
                <w:color w:val="000000"/>
                <w:sz w:val="20"/>
              </w:rPr>
              <w:t xml:space="preserve"> is therefore L² mol⁻² h⁻¹. The molar </w:t>
            </w:r>
            <w:proofErr w:type="spellStart"/>
            <w:r>
              <w:rPr>
                <w:color w:val="000000"/>
                <w:sz w:val="20"/>
              </w:rPr>
              <w:t>F_max</w:t>
            </w:r>
            <w:proofErr w:type="spellEnd"/>
            <w:r>
              <w:rPr>
                <w:color w:val="000000"/>
                <w:sz w:val="20"/>
              </w:rPr>
              <w:t xml:space="preserve"> expression and the mm⁶ g⁻² h⁻¹ unit in the manuscript were inconsistent with this and are being corrected [Eq. 11 text, Table 2, Table S5].</w:t>
            </w:r>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color w:val="000000"/>
                <w:sz w:val="20"/>
              </w:rPr>
              <w:t xml:space="preserve">The exponent of </w:t>
            </w:r>
            <w:proofErr w:type="spellStart"/>
            <w:r>
              <w:rPr>
                <w:color w:val="000000"/>
                <w:sz w:val="20"/>
              </w:rPr>
              <w:t>C_Cl</w:t>
            </w:r>
            <w:proofErr w:type="spellEnd"/>
            <w:r>
              <w:rPr>
                <w:color w:val="000000"/>
                <w:sz w:val="20"/>
              </w:rPr>
              <w:t xml:space="preserve"> in Eq. 11 is an effective reaction order, not the stoichiometric one: Eq. 5 is an overall reaction and the dissolution of </w:t>
            </w:r>
            <w:proofErr w:type="spellStart"/>
            <w:r>
              <w:rPr>
                <w:color w:val="000000"/>
                <w:sz w:val="20"/>
              </w:rPr>
              <w:t>ZnO</w:t>
            </w:r>
            <w:proofErr w:type="spellEnd"/>
            <w:r>
              <w:rPr>
                <w:color w:val="000000"/>
                <w:sz w:val="20"/>
              </w:rPr>
              <w:t xml:space="preserve"> into chloro-complexes proceeds in steps, so the rate order need not equal the stoichiometric coefficient. A second-order dependence is used as a reduced-order description [rationale/reference to be given]. Cl⁻ is not catalytic in a strict sense: Eq. 5 consumes four Cl⁻ per </w:t>
            </w:r>
            <w:proofErr w:type="spellStart"/>
            <w:r>
              <w:rPr>
                <w:color w:val="000000"/>
                <w:sz w:val="20"/>
              </w:rPr>
              <w:t>ZnO</w:t>
            </w:r>
            <w:proofErr w:type="spellEnd"/>
            <w:r>
              <w:rPr>
                <w:color w:val="000000"/>
                <w:sz w:val="20"/>
              </w:rPr>
              <w:t xml:space="preserve">.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w:t>
            </w:r>
            <w:proofErr w:type="gramStart"/>
            <w:r>
              <w:rPr>
                <w:color w:val="000000"/>
                <w:sz w:val="20"/>
              </w:rPr>
              <w:t>by</w:t>
            </w:r>
            <w:proofErr w:type="gramEnd"/>
            <w:r>
              <w:rPr>
                <w:color w:val="000000"/>
                <w:sz w:val="20"/>
              </w:rPr>
              <w:t xml:space="preserve"> 'effectively non-consumed' and note this approximation.</w:t>
            </w:r>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color w:val="000000"/>
                <w:sz w:val="20"/>
              </w:rPr>
              <w:t xml:space="preserve">The film is a </w:t>
            </w:r>
            <w:proofErr w:type="spellStart"/>
            <w:r>
              <w:rPr>
                <w:color w:val="000000"/>
                <w:sz w:val="20"/>
              </w:rPr>
              <w:t>homogenised</w:t>
            </w:r>
            <w:proofErr w:type="spellEnd"/>
            <w:r>
              <w:rPr>
                <w:color w:val="000000"/>
                <w:sz w:val="20"/>
              </w:rPr>
              <w:t xml:space="preserve">, volumetric field on a fixed mesh: it forms wherever dissolved Zn²⁺ is present on the electrolyte side of the level set and reduces local diffusivity (Eq. 12). It is not attached to the receding interface, and the level set advances independently of F. The </w:t>
            </w:r>
            <w:proofErr w:type="spellStart"/>
            <w:r>
              <w:rPr>
                <w:color w:val="000000"/>
                <w:sz w:val="20"/>
              </w:rPr>
              <w:t>ZnO</w:t>
            </w:r>
            <w:proofErr w:type="spellEnd"/>
            <w:r>
              <w:rPr>
                <w:color w:val="000000"/>
                <w:sz w:val="20"/>
              </w:rPr>
              <w:t xml:space="preserve">/Zn volume ratio (about 1.6) is not represented, so the film does not displace the interface or expand into the volume of lost metal. This is a limitation of the model, now stated in the Limitations section. Its effect is bounded by </w:t>
            </w:r>
            <w:proofErr w:type="spellStart"/>
            <w:r>
              <w:rPr>
                <w:color w:val="000000"/>
                <w:sz w:val="20"/>
              </w:rPr>
              <w:t>F_max</w:t>
            </w:r>
            <w:proofErr w:type="spellEnd"/>
            <w:r>
              <w:rPr>
                <w:color w:val="000000"/>
                <w:sz w:val="20"/>
              </w:rPr>
              <w:t xml:space="preserve"> and the porosity ε, which cap the local film density.</w:t>
            </w:r>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color w:val="000000"/>
                <w:sz w:val="20"/>
              </w:rPr>
              <w:t xml:space="preserve">The ORR terms use a sharp surface integral over the </w:t>
            </w:r>
            <w:proofErr w:type="gramStart"/>
            <w:r>
              <w:rPr>
                <w:color w:val="000000"/>
                <w:sz w:val="20"/>
              </w:rPr>
              <w:t>zero level</w:t>
            </w:r>
            <w:proofErr w:type="gramEnd"/>
            <w:r>
              <w:rPr>
                <w:color w:val="000000"/>
                <w:sz w:val="20"/>
              </w:rPr>
              <w:t xml:space="preserve"> set of the P1-interpolated signed-distance function (</w:t>
            </w:r>
            <w:proofErr w:type="spellStart"/>
            <w:r>
              <w:rPr>
                <w:color w:val="000000"/>
                <w:sz w:val="20"/>
              </w:rPr>
              <w:t>FreeFEM</w:t>
            </w:r>
            <w:proofErr w:type="spellEnd"/>
            <w:r>
              <w:rPr>
                <w:color w:val="000000"/>
                <w:sz w:val="20"/>
              </w:rPr>
              <w:t xml:space="preserve"> int2d with the </w:t>
            </w:r>
            <w:proofErr w:type="spellStart"/>
            <w:r>
              <w:rPr>
                <w:color w:val="000000"/>
                <w:sz w:val="20"/>
              </w:rPr>
              <w:t>levelset</w:t>
            </w:r>
            <w:proofErr w:type="spellEnd"/>
            <w:r>
              <w:rPr>
                <w:color w:val="000000"/>
                <w:sz w:val="20"/>
              </w:rPr>
              <w:t xml:space="preserve"> option), so there is no smoothing parameter in the reaction terms. A smoothed delta function, δ = (1 − tanh²(φ/</w:t>
            </w:r>
            <w:proofErr w:type="spellStart"/>
            <w:r>
              <w:rPr>
                <w:color w:val="000000"/>
                <w:sz w:val="20"/>
              </w:rPr>
              <w:t>ε_δ</w:t>
            </w:r>
            <w:proofErr w:type="spellEnd"/>
            <w:r>
              <w:rPr>
                <w:color w:val="000000"/>
                <w:sz w:val="20"/>
              </w:rPr>
              <w:t xml:space="preserve">))/(2ε_δ) with </w:t>
            </w:r>
            <w:proofErr w:type="spellStart"/>
            <w:r>
              <w:rPr>
                <w:color w:val="000000"/>
                <w:sz w:val="20"/>
              </w:rPr>
              <w:t>ε_δ</w:t>
            </w:r>
            <w:proofErr w:type="spellEnd"/>
            <w:r>
              <w:rPr>
                <w:color w:val="000000"/>
                <w:sz w:val="20"/>
              </w:rPr>
              <w:t xml:space="preserve"> equal to the minimum mesh size, is used only in post-processing to average quantities over the interface. We now state this in the Methods.</w:t>
            </w:r>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sweeps in the original Fig. 4 used k_f = 100, k_d = 30 and k_ORR = 1.0, not the optimised values, which is why the baseline gave 0.39% at 168 h against about 0.19% in Fig. 5a. We have repeated the sweeps around the calibrated baseline (k_f = 10, k_d = 1, k_ORR = 0.2 [confirm these are the calibrated values and update Table 2]), varying each parameter by the same factors (×0.2 and ×5) with the others fixed. The baseline curve gives 0.20% at 168 h, matching the calibrated simulation in Fig. 5a. [Insert the updated Fig. 4 and revised text in the manuscript.]</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standard deviation of the local penetration depth around the cross-section perimeter. The Fig. 8c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color w:val="000000"/>
                <w:sz w:val="20"/>
              </w:rPr>
              <w:lastRenderedPageBreak/>
              <w:t xml:space="preserve">The 13.2× is the ratio of outer (3.72 µm) to </w:t>
            </w:r>
            <w:r>
              <w:rPr>
                <w:color w:val="000000"/>
                <w:sz w:val="20"/>
              </w:rPr>
              <w:lastRenderedPageBreak/>
              <w:t xml:space="preserve">inner (0.28 µm) recession for the 150° arc. Its denominator is far below the interface element size, so the ratio is poorly constrained and should not be compared numerically across geometries. We now report the absolute outer–inner difference (3.4 µm for the 150° arc) alongside the </w:t>
            </w:r>
            <w:proofErr w:type="gramStart"/>
            <w:r>
              <w:rPr>
                <w:color w:val="000000"/>
                <w:sz w:val="20"/>
              </w:rPr>
              <w:t>ratio, and</w:t>
            </w:r>
            <w:proofErr w:type="gramEnd"/>
            <w:r>
              <w:rPr>
                <w:color w:val="000000"/>
                <w:sz w:val="20"/>
              </w:rPr>
              <w:t xml:space="preserve"> note that the inner depth is not resolved. The stent crown (Fig. 7d) gives 8.55 µm outer and 4.76 µm inner (1.8×, a 3.8 µm difference). The two are not directly comparable because the isolated 150° arc (radius 0.63 mm) confines its inner side far more strongly than the stent crown, so the inner surface is almost fully shielded from oxygen. [Confirm that Fig. 8d's inner and outer depths are taken at the arc apex, as in Fig. 7d.]</w:t>
            </w:r>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We have reconciled the two statements by giving the cost where each is used. The Results state that calibration is computationally tractable because only three parameters are calibrated, on a coarse mesh at about 2 h per 3D simulation (Table S4). The Discussion describes the high-fidelity validation and stent simulations (about 69 h on 50–64 cores for 672 h on a 19–21 million-element mesh, Table S4)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color w:val="000000"/>
                <w:sz w:val="20"/>
              </w:rPr>
              <w:t>Fixed: 'a R²' is now 'an R²', and 'shown in (Figure 4g–</w:t>
            </w:r>
            <w:proofErr w:type="spellStart"/>
            <w:r>
              <w:rPr>
                <w:color w:val="000000"/>
                <w:sz w:val="20"/>
              </w:rPr>
              <w:t>i</w:t>
            </w:r>
            <w:proofErr w:type="spellEnd"/>
            <w:r>
              <w:rPr>
                <w:color w:val="000000"/>
                <w:sz w:val="20"/>
              </w:rPr>
              <w:t>)' is now 'shown in Figure 4g–</w:t>
            </w:r>
            <w:proofErr w:type="spellStart"/>
            <w:r>
              <w:rPr>
                <w:color w:val="000000"/>
                <w:sz w:val="20"/>
              </w:rPr>
              <w:t>i</w:t>
            </w:r>
            <w:proofErr w:type="spellEnd"/>
            <w:r>
              <w:rPr>
                <w:color w:val="000000"/>
                <w:sz w:val="20"/>
              </w:rPr>
              <w:t xml:space="preserve">'. The </w:t>
            </w:r>
            <w:proofErr w:type="spellStart"/>
            <w:r>
              <w:rPr>
                <w:color w:val="000000"/>
                <w:sz w:val="20"/>
              </w:rPr>
              <w:t>capitalised</w:t>
            </w:r>
            <w:proofErr w:type="spellEnd"/>
            <w:r>
              <w:rPr>
                <w:color w:val="000000"/>
                <w:sz w:val="20"/>
              </w:rPr>
              <w:t xml:space="preserve"> 'Literature' in the text is inside the title of a cited reference (Tortuosity-Porosity Relationships: Review of Empirical Data from Literature), where title-case </w:t>
            </w:r>
            <w:proofErr w:type="spellStart"/>
            <w:r>
              <w:rPr>
                <w:color w:val="000000"/>
                <w:sz w:val="20"/>
              </w:rPr>
              <w:t>capitalisation</w:t>
            </w:r>
            <w:proofErr w:type="spellEnd"/>
            <w:r>
              <w:rPr>
                <w:color w:val="000000"/>
                <w:sz w:val="20"/>
              </w:rPr>
              <w:t xml:space="preserve"> is correct, so it was left unchanged. The mid-sentence 'literature' in the Zn²⁺/pH paragraph was already lower-case.</w:t>
            </w:r>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color w:val="000000"/>
                <w:sz w:val="20"/>
              </w:rPr>
              <w:t xml:space="preserve">The </w:t>
            </w:r>
            <w:proofErr w:type="spellStart"/>
            <w:r>
              <w:rPr>
                <w:color w:val="000000"/>
                <w:sz w:val="20"/>
              </w:rPr>
              <w:t>Damköhler</w:t>
            </w:r>
            <w:proofErr w:type="spellEnd"/>
            <w:r>
              <w:rPr>
                <w:color w:val="000000"/>
                <w:sz w:val="20"/>
              </w:rPr>
              <w:t xml:space="preserve"> number is defined in the Supplementary Information (Eq. S3, Section </w:t>
            </w:r>
            <w:r>
              <w:rPr>
                <w:color w:val="000000"/>
                <w:sz w:val="20"/>
              </w:rPr>
              <w:lastRenderedPageBreak/>
              <w:t>S1) as the ratio of oxygen consumption by the ORR to oxygen transport to the surface, Da = k_ORR·C_O2 / (D_O</w:t>
            </w:r>
            <w:proofErr w:type="gramStart"/>
            <w:r>
              <w:rPr>
                <w:color w:val="000000"/>
                <w:sz w:val="20"/>
              </w:rPr>
              <w:t>2,eff</w:t>
            </w:r>
            <w:proofErr w:type="gramEnd"/>
            <w:r>
              <w:rPr>
                <w:color w:val="000000"/>
                <w:sz w:val="20"/>
              </w:rPr>
              <w:t xml:space="preserve">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