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1180EB2E"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t>
      </w:r>
      <w:r w:rsidR="00B4341C">
        <w:t>to a six-crown Zn stent without geometry-specific recalibration, the model predicts approximately 6% mass loss after one month, on</w:t>
      </w:r>
      <w:r w:rsidRPr="00A60AFE">
        <w:t xml:space="preserve"> the same order of magnitude as 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48F2DC47"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1F250F">
        <w:rPr>
          <w:color w:val="FF0000"/>
        </w:rPr>
        <w:instrText xml:space="preserve"> ADDIN ZOTERO_ITEM CSL_CITATION {"citationID":"HTUE0mdH","properties":{"unsorted":false,"formattedCitation":"\\super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1F250F" w:rsidRPr="001F250F">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38A1F255"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2F52CE" w:rsidRPr="001A2EB4">
        <w:rPr>
          <w:b/>
          <w:bCs/>
        </w:rPr>
        <w:t xml:space="preserve">Figure </w:t>
      </w:r>
      <w:r w:rsidR="002F52CE">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47B7CC86"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corrosion-product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pH 7.4)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473CF855"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22E7417B"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corrosion-product 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68228C">
        <w:rPr>
          <w:rFonts w:cs="Times New Roman"/>
        </w:rPr>
        <w:t>,</w:t>
      </w:r>
      <w:r w:rsidR="002876FD">
        <w:rPr>
          <w:rFonts w:cs="Times New Roman"/>
        </w:rPr>
        <w:t xml:space="preserve"> </w:t>
      </w:r>
      <w:r w:rsidR="00BC506D" w:rsidRPr="001A2EB4">
        <w:rPr>
          <w:rFonts w:cs="Times New Roman"/>
        </w:rPr>
        <w:t xml:space="preserve">the corrosion products are modeled as a single </w:t>
      </w:r>
      <w:proofErr w:type="spellStart"/>
      <w:r w:rsidR="00BC506D" w:rsidRPr="001A2EB4">
        <w:rPr>
          <w:rFonts w:cs="Times New Roman"/>
        </w:rPr>
        <w:t>ZnO</w:t>
      </w:r>
      <w:proofErr w:type="spellEnd"/>
      <w:r w:rsidR="00BC506D" w:rsidRPr="001A2EB4">
        <w:rPr>
          <w:rFonts w:cs="Times New Roman"/>
        </w:rPr>
        <w:t xml:space="preserve">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3510BAF4"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2</w:t>
      </w:r>
      <w:r w:rsidRPr="001A2EB4">
        <w:rPr>
          <w:b/>
          <w:bCs/>
        </w:rPr>
        <w:fldChar w:fldCharType="end"/>
      </w:r>
      <w:bookmarkEnd w:id="5"/>
      <w:r w:rsidRPr="001A2EB4">
        <w:rPr>
          <w:b/>
          <w:bCs/>
        </w:rPr>
        <w:t>.</w:t>
      </w:r>
      <w:r w:rsidRPr="001A2EB4">
        <w:t xml:space="preserve"> </w:t>
      </w:r>
      <w:r w:rsidR="00246AE0" w:rsidRPr="001A2EB4">
        <w:t>Schematic of the coupled mechanistic framework for Zn biodegradation in physiological media. (a) Electrochemical reactions governing Zn dissolution, oxygen reduction, corrosion-product formation, and chloride-induced dissolution,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180F0641"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A6791C">
        <w:rPr>
          <w:rFonts w:cs="Times New Roman"/>
        </w:rPr>
        <w:instrText xml:space="preserve"> ADDIN ZOTERO_ITEM CSL_CITATION {"citationID":"2YDw3E7n","properties":{"unsorted":false,"formattedCitation":"\\super [29]\\nosupersub{}","plainCitation":"[29]","noteIndex":0},"citationItems":[{"id":4562,"uris":["http://zotero.org/users/16939557/items/8FBQWKCF"],"itemData":{"id":4562,"type":"article-journal","citation-key":"katonaValidatingCorrosionModels2026","container-title":"Corrosion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A6791C" w:rsidRPr="00A6791C">
        <w:rPr>
          <w:rFonts w:cs="Times New Roman"/>
          <w:vertAlign w:val="superscript"/>
        </w:rPr>
        <w:t>[29]</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D5249E"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0D2FBA4B" w:rsidR="00B3641C" w:rsidRPr="001A2EB4" w:rsidRDefault="000D2C07" w:rsidP="00B3641C">
      <w:pPr>
        <w:pStyle w:val="BodyText"/>
      </w:pPr>
      <w:r w:rsidRPr="000D2C07">
        <w:t>Four dissolved species are solved</w:t>
      </w:r>
      <w:r w:rsidR="00105ABB" w:rsidRPr="000D2C07">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00105ABB" w:rsidRPr="000D2C07">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00105ABB" w:rsidRPr="000D2C07">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00105ABB" w:rsidRPr="000D2C07">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105ABB" w:rsidRPr="000D2C07">
        <w:rPr>
          <w:rFonts w:cs="Times New Roman"/>
        </w:rPr>
        <w:t xml:space="preserve">) </w:t>
      </w:r>
      <w:r w:rsidRPr="000D2C07">
        <w:t xml:space="preserve">together with the corrosion-product </w:t>
      </w:r>
      <w:r w:rsidRPr="000D2C07">
        <w:t xml:space="preserve">concentration</w:t>
      </w:r>
      <w:r w:rsidR="00105ABB" w:rsidRPr="000D2C07">
        <w:rPr>
          <w:rFonts w:cs="Times New Roman"/>
        </w:rPr>
        <w:t xml:space="preserve"> (</w:t>
      </w:r>
      <m:oMath>
        <m:r>
          <w:rPr>
            <w:rFonts w:ascii="Cambria Math" w:hAnsi="Cambria Math"/>
          </w:rPr>
          <m:t>F</m:t>
        </m:r>
      </m:oMath>
      <w:r w:rsidR="00105ABB" w:rsidRPr="000D2C07">
        <w:rPr>
          <w:rFonts w:cs="Times New Roman"/>
        </w:rPr>
        <w:t>)</w:t>
      </w:r>
      <w:r>
        <w:rPr>
          <w:rFonts w:cs="Times New Roman"/>
        </w:rPr>
        <w:t xml:space="preserve">. </w:t>
      </w:r>
      <w:r w:rsidR="00B3641C" w:rsidRPr="001A2EB4">
        <w:t xml:space="preserve">Dissolved oxygen was treated as the primary cathodic reactant,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27EF1B66" w14:textId="34026633" w:rsidR="00D26518" w:rsidRPr="001A2EB4" w:rsidRDefault="00D26518" w:rsidP="00D1626D">
      <w:pPr>
        <w:pStyle w:val="BodyText"/>
        <w:rPr/>
      </w:pPr>
      <w:r w:rsidRPr="001A2EB4">
        <w:t xml:space="preserve">F is the molar concentration of ZnO-equivalent corrosion product per unit corrosion-product-region volume (mol mm⁻³), and all concentrations are molar (mol mm⁻³). The oxygen-reduction (ORR) molar flux at the interface is defined as</w:t>
      </w:r>
    </w:p>
    <w:p w14:paraId="27EF1B66" w14:textId="34026633" w:rsidR="00D26518" w:rsidRPr="001A2EB4" w:rsidRDefault="00D26518" w:rsidP="00D1626D">
      <w:pPr>
        <w:pStyle w:val="BodyText"/>
        <w:rPr/>
      </w:pPr>
      <m:oMath>
        <m:sSub>
          <m:e>
            <m:r>
              <w:rPr/>
              <m:t xml:space="preserve">j</m:t>
            </m:r>
          </m:e>
          <m:sub>
            <m:r>
              <w:rPr/>
              <m:t xml:space="preserve">ORR</m:t>
            </m:r>
          </m:sub>
        </m:sSub>
        <m:r>
          <w:rPr/>
          <m:t xml:space="preserve">=</m:t>
        </m:r>
        <m:sSub>
          <m:e>
            <m:r>
              <w:rPr/>
              <m:t xml:space="preserve">k</m:t>
            </m:r>
          </m:e>
          <m:sub>
            <m:r>
              <w:rPr/>
              <m:t xml:space="preserve">ORR</m:t>
            </m:r>
          </m:sub>
        </m:sSub>
        <m:sSub>
          <m:e>
            <m:r>
              <w:rPr/>
              <m:t xml:space="preserve">C</m:t>
            </m:r>
          </m:e>
          <m:sub>
            <m:r>
              <w:rPr/>
              <m:t xml:space="preserve">O₂</m:t>
            </m:r>
          </m:sub>
        </m:sSub>
        <m:r>
          <w:rPr/>
          <m:t xml:space="preserve">|Γ</m:t>
        </m:r>
        <m:r>
          <w:rPr/>
          <m:t xml:space="preserve"> [mol mm⁻² h⁻¹]</m:t>
        </m:r>
      </m:oMath>
    </w:p>
    <w:p w14:paraId="27EF1B66" w14:textId="34026633" w:rsidR="00D26518" w:rsidRPr="001A2EB4" w:rsidRDefault="00D26518" w:rsidP="00D1626D">
      <w:pPr>
        <w:pStyle w:val="BodyText"/>
        <w:rPr/>
      </w:pPr>
      <w:r w:rsidRPr="001A2EB4">
        <w:t xml:space="preserve">where k</w:t>
      </w:r>
      <w:r w:rsidRPr="001A2EB4">
        <w:rPr>
          <w:vertAlign w:val="subscript"/>
        </w:rPr>
        <w:t xml:space="preserve">ORR</w:t>
      </w:r>
      <w:r w:rsidRPr="001A2EB4">
        <w:t xml:space="preserve"> is a velocity (mm h⁻¹) and C</w:t>
      </w:r>
      <w:r w:rsidRPr="001A2EB4">
        <w:rPr>
          <w:vertAlign w:val="subscript"/>
        </w:rPr>
        <w:t xml:space="preserve">O2</w:t>
      </w:r>
      <w:r w:rsidRPr="001A2EB4">
        <w:t xml:space="preserve">|</w:t>
      </w:r>
      <w:r w:rsidRPr="001A2EB4">
        <w:rPr>
          <w:vertAlign w:val="subscript"/>
        </w:rPr>
        <w:t xml:space="preserve">Γ</w:t>
      </w:r>
      <w:r w:rsidRPr="001A2EB4">
        <w:t xml:space="preserve"> is the interfacial oxygen concentration.</w:t>
      </w:r>
    </w:p>
    <w:p w14:paraId="42144BD5" w14:textId="695D62F6" w:rsidR="00097CCF" w:rsidRPr="001A2EB4" w:rsidRDefault="00D5249E"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sSub>
              <m:sSubPr>
                <m:ctrlPr>
                  <w:rPr>
                    <w:rFonts w:ascii="Cambria Math" w:hAnsi="Cambria Math" w:cs="Times New Roman"/>
                  </w:rPr>
                </m:ctrlPr>
              </m:sSubPr>
              <m:e/>
              <m:sub>
                <m:sSub>
                  <m:sSubPr>
                    <m:ctrlPr>
                      <w:rPr>
                        <w:rFonts w:ascii="Cambria Math" w:hAnsi="Cambria Math" w:cs="Times New Roman"/>
                      </w:rPr>
                    </m:ctrlPr>
                  </m:sSubPr>
                  <m:e/>
                  <m:sub/>
                </m:sSub>
              </m:sub>
            </m:sSub>
          </m:num>
          <m:den/>
        </m:f>
        <m:d>
          <m:dPr>
            <m:ctrlPr>
              <w:rPr>
                <w:rFonts w:ascii="Cambria Math" w:hAnsi="Cambria Math" w:cs="Times New Roman"/>
              </w:rPr>
            </m:ctrlPr>
          </m:dPr>
          <m:e>
            <m:sSubSup>
              <m:sSubSupPr>
                <m:ctrlPr>
                  <w:rPr>
                    <w:rFonts w:ascii="Cambria Math" w:hAnsi="Cambria Math" w:cs="Times New Roman"/>
                  </w:rPr>
                </m:ctrlPr>
              </m:sSubSupPr>
              <m:e/>
              <m:sub>
                <m:sSub>
                  <m:sSubPr>
                    <m:ctrlPr>
                      <w:rPr>
                        <w:rFonts w:ascii="Cambria Math" w:hAnsi="Cambria Math" w:cs="Times New Roman"/>
                      </w:rPr>
                    </m:ctrlPr>
                  </m:sSubPr>
                  <m:e/>
                  <m:sub/>
                </m:sSub>
              </m:sub>
              <m:sup/>
            </m:sSubSup>
            <m:sSub>
              <m:sSubPr>
                <m:ctrlPr>
                  <w:rPr>
                    <w:rFonts w:ascii="Cambria Math" w:hAnsi="Cambria Math" w:cs="Times New Roman"/>
                  </w:rPr>
                </m:ctrlPr>
              </m:sSubPr>
              <m:e/>
              <m:sub>
                <m:sSub>
                  <m:sSubPr>
                    <m:ctrlPr>
                      <w:rPr>
                        <w:rFonts w:ascii="Cambria Math" w:hAnsi="Cambria Math" w:cs="Times New Roman"/>
                      </w:rPr>
                    </m:ctrlPr>
                  </m:sSubPr>
                  <m:e/>
                  <m:sub/>
                </m:sSub>
              </m:sub>
            </m:sSub>
          </m:e>
        </m:d>
        <m:sSub>
          <m:sSubPr>
            <m:ctrlPr>
              <w:rPr>
                <w:rFonts w:ascii="Cambria Math" w:hAnsi="Cambria Math" w:cs="Times New Roman"/>
              </w:rPr>
            </m:ctrlPr>
          </m:sSubPr>
          <m:e/>
          <m:sub/>
        </m:sSub>
        <m:sSub>
          <m:sSubPr>
            <m:ctrlPr>
              <w:rPr>
                <w:rFonts w:ascii="Cambria Math" w:hAnsi="Cambria Math" w:cs="Times New Roman"/>
              </w:rPr>
            </m:ctrlPr>
          </m:sSubPr>
          <m:e/>
          <m:sub>
            <m:sSub>
              <m:sSubPr>
                <m:ctrlPr>
                  <w:rPr>
                    <w:rFonts w:ascii="Cambria Math" w:hAnsi="Cambria Math" w:cs="Times New Roman"/>
                  </w:rPr>
                </m:ctrlPr>
              </m:sSubPr>
              <m:e/>
              <m:sub/>
            </m:sSub>
          </m:sub>
        </m:sSub>
        <m:sSub>
          <m:sSubPr>
            <m:ctrlPr>
              <w:rPr>
                <w:rFonts w:ascii="Cambria Math" w:hAnsi="Cambria Math"/>
              </w:rPr>
            </m:ctrlPr>
          </m:sSubPr>
          <m:e/>
          <m:sub/>
        </m:sSub>
      </m:oMath>
      <m:oMath>
        <m:f>
          <m:num>
            <m:r>
              <w:rPr/>
              <m:t xml:space="preserve">∂</m:t>
            </m:r>
            <m:sSub>
              <m:e>
                <m:r>
                  <w:rPr/>
                  <m:t xml:space="preserve">C</m:t>
                </m:r>
              </m:e>
              <m:sub>
                <m:r>
                  <w:rPr/>
                  <m:t xml:space="preserve">O₂</m:t>
                </m:r>
              </m:sub>
            </m:sSub>
          </m:num>
          <m:den>
            <m:r>
              <w:rPr/>
              <m:t xml:space="preserve">∂</m:t>
            </m:r>
            <m:r>
              <w:rPr/>
              <m:t xml:space="preserve">t</m:t>
            </m:r>
          </m:den>
        </m:f>
        <m:r>
          <w:rPr/>
          <m:t xml:space="preserve">=∇⋅(</m:t>
        </m:r>
        <m:sSup>
          <m:e>
            <m:sSub>
              <m:e>
                <m:r>
                  <w:rPr/>
                  <m:t xml:space="preserve">D</m:t>
                </m:r>
              </m:e>
              <m:sub>
                <m:r>
                  <w:rPr/>
                  <m:t xml:space="preserve">O₂</m:t>
                </m:r>
              </m:sub>
            </m:sSub>
          </m:e>
          <m:sup>
            <m:r>
              <w:rPr/>
              <m:t xml:space="preserve">eff</m:t>
            </m:r>
          </m:sup>
        </m:sSup>
        <m:r>
          <w:rPr/>
          <m:t xml:space="preserve">∇</m:t>
        </m:r>
        <m:sSub>
          <m:e>
            <m:r>
              <w:rPr/>
              <m:t xml:space="preserve">C</m:t>
            </m:r>
          </m:e>
          <m:sub>
            <m:r>
              <w:rPr/>
              <m:t xml:space="preserve">O₂</m:t>
            </m:r>
          </m:sub>
        </m:sSub>
        <m:r>
          <w:rPr/>
          <m:t xml:space="preserve">)−</m:t>
        </m:r>
        <m:sSub>
          <m:e>
            <m:r>
              <w:rPr/>
              <m:t xml:space="preserve">j</m:t>
            </m:r>
          </m:e>
          <m:sub>
            <m:r>
              <w:rPr/>
              <m:t xml:space="preserve">ORR</m:t>
            </m:r>
          </m:sub>
        </m:sSub>
        <m:sSub>
          <m:e>
            <m:r>
              <w:rPr/>
              <m:t xml:space="preserve">δ</m:t>
            </m:r>
          </m:e>
          <m:sub>
            <m:r>
              <w:rPr/>
              <m:t xml:space="preserve">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1CB37E53" w:rsidR="00424107" w:rsidRPr="001A2EB4" w:rsidRDefault="004833E0" w:rsidP="00424107">
      <w:pPr>
        <w:pStyle w:val="BodyText"/>
        <w:ind w:firstLine="0"/>
        <w:rPr>
          <w:rFonts w:cs="Times New Roman"/>
        </w:rPr>
      </w:pPr>
      <w:r w:rsidRPr="004833E0">
        <w:rPr>
          <w:rFonts w:cs="Times New Roman"/>
        </w:rPr>
        <w:t xml:space="preserve">where </w:t>
      </w:r>
      <w:proofErr w:type="spellStart"/>
      <w:r w:rsidRPr="004833E0">
        <w:rPr>
          <w:rFonts w:cs="Times New Roman"/>
        </w:rPr>
        <w:t>δ</w:t>
      </w:r>
      <w:r w:rsidRPr="004833E0">
        <w:rPr>
          <w:rFonts w:cs="Times New Roman"/>
          <w:vertAlign w:val="subscript"/>
        </w:rPr>
        <w:t>Γ</w:t>
      </w:r>
      <w:proofErr w:type="spellEnd"/>
      <w:r w:rsidRPr="004833E0">
        <w:rPr>
          <w:rFonts w:cs="Times New Roman"/>
        </w:rPr>
        <w:t xml:space="preserve"> = δ(ϕ)|</w:t>
      </w:r>
      <w:r w:rsidRPr="004833E0">
        <w:rPr>
          <w:rFonts w:ascii="Cambria Math" w:hAnsi="Cambria Math" w:cs="Cambria Math"/>
        </w:rPr>
        <w:t>∇</w:t>
      </w:r>
      <w:r w:rsidRPr="004833E0">
        <w:rPr>
          <w:rFonts w:cs="Times New Roman"/>
        </w:rPr>
        <w:t>ϕ| is the interface delta function (mm</w:t>
      </w:r>
      <w:r w:rsidRPr="004833E0">
        <w:rPr>
          <w:rFonts w:cs="Times New Roman"/>
          <w:vertAlign w:val="superscript"/>
        </w:rPr>
        <w:t>-1</w:t>
      </w:r>
      <w:r w:rsidRPr="004833E0">
        <w:rPr>
          <w:rFonts w:cs="Times New Roman"/>
        </w:rPr>
        <w:t xml:space="preserve">), so that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4833E0">
        <w:rPr>
          <w:rFonts w:cs="Times New Roman"/>
        </w:rPr>
        <w:t xml:space="preserve"> is a velocity (mm h</w:t>
      </w:r>
      <w:r w:rsidRPr="004833E0">
        <w:rPr>
          <w:rFonts w:cs="Times New Roman"/>
          <w:vertAlign w:val="superscript"/>
        </w:rPr>
        <w:t>-1</w:t>
      </w:r>
      <w:r w:rsidRPr="004833E0">
        <w:rPr>
          <w:rFonts w:cs="Times New Roman"/>
        </w:rPr>
        <w:t>). Chloride acts as a catalytic species, regenerated during film bre</w:t>
      </w:r>
      <w:proofErr w:type="spellStart"/>
      <w:r w:rsidRPr="004833E0">
        <w:rPr>
          <w:rFonts w:cs="Times New Roman"/>
        </w:rPr>
        <w:t>akdown</w:t>
      </w:r>
      <w:proofErr w:type="spellEnd"/>
      <w:r w:rsidRPr="004833E0">
        <w:rPr>
          <w:rFonts w:cs="Times New Roman"/>
        </w:rPr>
        <w:t xml:space="preserve"> rather than consumed</w:t>
      </w:r>
      <w:r w:rsidR="00424107" w:rsidRPr="001A2EB4">
        <w:rPr>
          <w:rFonts w:cs="Times New Roman"/>
        </w:rPr>
        <w:t xml:space="preserve"> </w:t>
      </w:r>
      <w:r w:rsidR="00424107"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24107" w:rsidRPr="001A2EB4">
        <w:rPr>
          <w:rFonts w:cs="Times New Roman"/>
        </w:rPr>
        <w:fldChar w:fldCharType="separate"/>
      </w:r>
      <w:r w:rsidR="00424107" w:rsidRPr="00F60B2A">
        <w:rPr>
          <w:rFonts w:cs="Times New Roman"/>
          <w:vertAlign w:val="superscript"/>
        </w:rPr>
        <w:t>[19]</w:t>
      </w:r>
      <w:r w:rsidR="00424107" w:rsidRPr="001A2EB4">
        <w:rPr>
          <w:rFonts w:cs="Times New Roman"/>
        </w:rPr>
        <w:fldChar w:fldCharType="end"/>
      </w:r>
      <w:r w:rsidR="00424107" w:rsidRPr="001A2EB4">
        <w:rPr>
          <w:rFonts w:cs="Times New Roman"/>
        </w:rPr>
        <w:t>:</w:t>
      </w:r>
    </w:p>
    <w:p w14:paraId="7C2B2EA7" w14:textId="1B7C2083" w:rsidR="00424107" w:rsidRDefault="00D5249E"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7C8A20CF"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 products.</w:t>
      </w:r>
      <w:r w:rsidR="009F4B7F" w:rsidRPr="001A2EB4">
        <w:rPr>
          <w:rFonts w:cs="Times New Roman"/>
        </w:rPr>
        <w:t xml:space="preserve"> At the same time, chloride-induced corrosion-product dissolution releases hydroxide back into the electrolyte</w:t>
      </w:r>
      <w:r w:rsidR="009F4B7F">
        <w:rPr>
          <w:rFonts w:cs="Times New Roman"/>
        </w:rPr>
        <w:t>.</w:t>
      </w:r>
    </w:p>
    <w:p w14:paraId="24B0774D" w14:textId="02D5D2BA" w:rsidR="00424107" w:rsidRDefault="00D5249E"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sSub>
                    <m:sSubPr>
                      <m:ctrlPr>
                        <w:rPr>
                          <w:rFonts w:ascii="Cambria Math" w:hAnsi="Cambria Math" w:cs="Times New Roman"/>
                        </w:rPr>
                      </m:ctrlPr>
                    </m:sSubPr>
                    <m:e/>
                    <m:sub/>
                  </m:sSub>
                </m:num>
                <m:den/>
              </m:f>
              <m:d>
                <m:dPr>
                  <m:ctrlPr>
                    <w:rPr>
                      <w:rFonts w:ascii="Cambria Math" w:hAnsi="Cambria Math" w:cs="Times New Roman"/>
                    </w:rPr>
                  </m:ctrlPr>
                </m:dPr>
                <m:e>
                  <m:sSubSup>
                    <m:sSubSupPr>
                      <m:ctrlPr>
                        <w:rPr>
                          <w:rFonts w:ascii="Cambria Math" w:hAnsi="Cambria Math" w:cs="Times New Roman"/>
                        </w:rPr>
                      </m:ctrlPr>
                    </m:sSubSupPr>
                    <m:e/>
                    <m:sub/>
                    <m:sup/>
                  </m:sSubSup>
                  <m:sSub>
                    <m:sSubPr>
                      <m:ctrlPr>
                        <w:rPr>
                          <w:rFonts w:ascii="Cambria Math" w:hAnsi="Cambria Math" w:cs="Times New Roman"/>
                        </w:rPr>
                      </m:ctrlPr>
                    </m:sSubPr>
                    <m:e/>
                    <m:sub/>
                  </m:sSub>
                </m:e>
              </m:d>
              <m:sSub>
                <m:sSubPr>
                  <m:ctrlPr>
                    <w:rPr>
                      <w:rFonts w:ascii="Cambria Math" w:hAnsi="Cambria Math" w:cs="Times New Roman"/>
                    </w:rPr>
                  </m:ctrlPr>
                </m:sSubPr>
                <m:e/>
                <m:sub/>
              </m:sSub>
              <m:sSub>
                <m:sSubPr>
                  <m:ctrlPr>
                    <w:rPr>
                      <w:rFonts w:ascii="Cambria Math" w:hAnsi="Cambria Math" w:cs="Times New Roman"/>
                    </w:rPr>
                  </m:ctrlPr>
                </m:sSubPr>
                <m:e/>
                <m:sub>
                  <m:sSub>
                    <m:sSubPr>
                      <m:ctrlPr>
                        <w:rPr>
                          <w:rFonts w:ascii="Cambria Math" w:hAnsi="Cambria Math" w:cs="Times New Roman"/>
                        </w:rPr>
                      </m:ctrlPr>
                    </m:sSubPr>
                    <m:e/>
                    <m:sub/>
                  </m:sSub>
                </m:sub>
              </m:sSub>
              <m:sSub>
                <m:sSubPr>
                  <m:ctrlPr>
                    <w:rPr>
                      <w:rFonts w:ascii="Cambria Math" w:hAnsi="Cambria Math" w:cs="Times New Roman"/>
                    </w:rPr>
                  </m:ctrlPr>
                </m:sSubPr>
                <m:e/>
                <m:sub/>
              </m:sSub>
              <m:f>
                <m:fPr>
                  <m:ctrlPr>
                    <w:rPr>
                      <w:rFonts w:ascii="Cambria Math" w:hAnsi="Cambria Math" w:cs="Times New Roman"/>
                    </w:rPr>
                  </m:ctrlPr>
                </m:fPr>
                <m:num/>
                <m:den/>
              </m:f>
            </m:e>
          </m:mr>
        </m:m>
      </m:oMath>
      <m:oMath>
        <m:f>
          <m:num>
            <m:r>
              <w:rPr/>
              <m:t xml:space="preserve">∂</m:t>
            </m:r>
            <m:sSub>
              <m:e>
                <m:r>
                  <w:rPr/>
                  <m:t xml:space="preserve">C</m:t>
                </m:r>
              </m:e>
              <m:sub>
                <m:r>
                  <w:rPr/>
                  <m:t xml:space="preserve">Zn</m:t>
                </m:r>
              </m:sub>
            </m:sSub>
          </m:num>
          <m:den>
            <m:r>
              <w:rPr/>
              <m:t xml:space="preserve">∂</m:t>
            </m:r>
            <m:r>
              <w:rPr/>
              <m:t xml:space="preserve">t</m:t>
            </m:r>
          </m:den>
        </m:f>
        <m:r>
          <w:rPr/>
          <m:t xml:space="preserve">=∇⋅(</m:t>
        </m:r>
        <m:sSup>
          <m:e>
            <m:sSub>
              <m:e>
                <m:r>
                  <w:rPr/>
                  <m:t xml:space="preserve">D</m:t>
                </m:r>
              </m:e>
              <m:sub>
                <m:r>
                  <w:rPr/>
                  <m:t xml:space="preserve">Zn</m:t>
                </m:r>
              </m:sub>
            </m:sSub>
          </m:e>
          <m:sup>
            <m:r>
              <w:rPr/>
              <m:t xml:space="preserve">eff</m:t>
            </m:r>
          </m:sup>
        </m:sSup>
        <m:r>
          <w:rPr/>
          <m:t xml:space="preserve">∇</m:t>
        </m:r>
        <m:sSub>
          <m:e>
            <m:r>
              <w:rPr/>
              <m:t xml:space="preserve">C</m:t>
            </m:r>
          </m:e>
          <m:sub>
            <m:r>
              <w:rPr/>
              <m:t xml:space="preserve">Zn</m:t>
            </m:r>
          </m:sub>
        </m:sSub>
        <m:r>
          <w:rPr/>
          <m:t xml:space="preserve">)+2</m:t>
        </m:r>
        <m:sSub>
          <m:e>
            <m:r>
              <w:rPr/>
              <m:t xml:space="preserve">j</m:t>
            </m:r>
          </m:e>
          <m:sub>
            <m:r>
              <w:rPr/>
              <m:t xml:space="preserve">ORR</m:t>
            </m:r>
          </m:sub>
        </m:sSub>
        <m:sSub>
          <m:e>
            <m:r>
              <w:rPr/>
              <m:t xml:space="preserve">δ</m:t>
            </m:r>
          </m:e>
          <m:sub>
            <m:r>
              <w:rPr/>
              <m:t xml:space="preserve">Γ</m:t>
            </m:r>
          </m:sub>
        </m:sSub>
        <m:r>
          <w:rPr/>
          <m:t xml:space="preserve">−</m:t>
        </m:r>
        <m:f>
          <m:num>
            <m:r>
              <w:rPr/>
              <m:t xml:space="preserve">∂</m:t>
            </m:r>
            <m:r>
              <w:rPr/>
              <m:t xml:space="preserve">F</m:t>
            </m:r>
          </m:num>
          <m:den>
            <m:r>
              <w:rPr/>
              <m:t xml:space="preserve">∂</m:t>
            </m:r>
            <m:r>
              <w:rPr/>
              <m:t xml:space="preserve">t</m:t>
            </m:r>
          </m:den>
        </m:f>
      </m:oMath>
      <w:r w:rsidR="00424107" w:rsidRPr="001A2EB4">
        <w:rPr>
          <w:rFonts w:cs="Times New Roman"/>
        </w:rPr>
        <w:tab/>
        <w:t>(</w:t>
      </w:r>
      <w:r w:rsidR="009F4B7F">
        <w:rPr>
          <w:rFonts w:cs="Times New Roman"/>
        </w:rPr>
        <w:t>9</w:t>
      </w:r>
      <w:r w:rsidR="00424107" w:rsidRPr="001A2EB4">
        <w:rPr>
          <w:rFonts w:cs="Times New Roman"/>
        </w:rPr>
        <w:t>)</w:t>
      </w:r>
    </w:p>
    <w:p w14:paraId="0A228AFA" w14:textId="674D942D" w:rsidR="00097CCF" w:rsidRPr="001A2EB4" w:rsidRDefault="00D5249E"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sSub>
                    <m:sSubPr>
                      <m:ctrlPr>
                        <w:rPr>
                          <w:rFonts w:ascii="Cambria Math" w:hAnsi="Cambria Math" w:cs="Times New Roman"/>
                        </w:rPr>
                      </m:ctrlPr>
                    </m:sSubPr>
                    <m:e/>
                    <m:sub/>
                  </m:sSub>
                </m:num>
                <m:den/>
              </m:f>
              <m:d>
                <m:dPr>
                  <m:ctrlPr>
                    <w:rPr>
                      <w:rFonts w:ascii="Cambria Math" w:hAnsi="Cambria Math" w:cs="Times New Roman"/>
                    </w:rPr>
                  </m:ctrlPr>
                </m:dPr>
                <m:e>
                  <m:sSubSup>
                    <m:sSubSupPr>
                      <m:ctrlPr>
                        <w:rPr>
                          <w:rFonts w:ascii="Cambria Math" w:hAnsi="Cambria Math" w:cs="Times New Roman"/>
                        </w:rPr>
                      </m:ctrlPr>
                    </m:sSubSupPr>
                    <m:e/>
                    <m:sub/>
                    <m:sup/>
                  </m:sSubSup>
                  <m:sSub>
                    <m:sSubPr>
                      <m:ctrlPr>
                        <w:rPr>
                          <w:rFonts w:ascii="Cambria Math" w:hAnsi="Cambria Math" w:cs="Times New Roman"/>
                        </w:rPr>
                      </m:ctrlPr>
                    </m:sSubPr>
                    <m:e/>
                    <m:sub/>
                  </m:sSub>
                </m:e>
              </m:d>
              <m:sSub>
                <m:sSubPr>
                  <m:ctrlPr>
                    <w:rPr>
                      <w:rFonts w:ascii="Cambria Math" w:hAnsi="Cambria Math" w:cs="Times New Roman"/>
                    </w:rPr>
                  </m:ctrlPr>
                </m:sSubPr>
                <m:e/>
                <m:sub/>
              </m:sSub>
              <m:sSub>
                <m:sSubPr>
                  <m:ctrlPr>
                    <w:rPr>
                      <w:rFonts w:ascii="Cambria Math" w:hAnsi="Cambria Math" w:cs="Times New Roman"/>
                    </w:rPr>
                  </m:ctrlPr>
                </m:sSubPr>
                <m:e/>
                <m:sub>
                  <m:sSub>
                    <m:sSubPr>
                      <m:ctrlPr>
                        <w:rPr>
                          <w:rFonts w:ascii="Cambria Math" w:hAnsi="Cambria Math" w:cs="Times New Roman"/>
                        </w:rPr>
                      </m:ctrlPr>
                    </m:sSubPr>
                    <m:e/>
                    <m:sub/>
                  </m:sSub>
                </m:sub>
              </m:sSub>
              <m:sSub>
                <m:sSubPr>
                  <m:ctrlPr>
                    <w:rPr>
                      <w:rFonts w:ascii="Cambria Math" w:hAnsi="Cambria Math" w:cs="Times New Roman"/>
                    </w:rPr>
                  </m:ctrlPr>
                </m:sSubPr>
                <m:e/>
                <m:sub/>
              </m:sSub>
              <m:f>
                <m:fPr>
                  <m:ctrlPr>
                    <w:rPr>
                      <w:rFonts w:ascii="Cambria Math" w:hAnsi="Cambria Math" w:cs="Times New Roman"/>
                    </w:rPr>
                  </m:ctrlPr>
                </m:fPr>
                <m:num/>
                <m:den/>
              </m:f>
            </m:e>
          </m:mr>
        </m:m>
      </m:oMath>
      <m:oMath>
        <m:f>
          <m:num>
            <m:r>
              <w:rPr/>
              <m:t xml:space="preserve">∂</m:t>
            </m:r>
            <m:sSub>
              <m:e>
                <m:r>
                  <w:rPr/>
                  <m:t xml:space="preserve">C</m:t>
                </m:r>
              </m:e>
              <m:sub>
                <m:r>
                  <w:rPr/>
                  <m:t xml:space="preserve">OH</m:t>
                </m:r>
              </m:sub>
            </m:sSub>
          </m:num>
          <m:den>
            <m:r>
              <w:rPr/>
              <m:t xml:space="preserve">∂</m:t>
            </m:r>
            <m:r>
              <w:rPr/>
              <m:t xml:space="preserve">t</m:t>
            </m:r>
          </m:den>
        </m:f>
        <m:r>
          <w:rPr/>
          <m:t xml:space="preserve">=∇⋅(</m:t>
        </m:r>
        <m:sSup>
          <m:e>
            <m:sSub>
              <m:e>
                <m:r>
                  <w:rPr/>
                  <m:t xml:space="preserve">D</m:t>
                </m:r>
              </m:e>
              <m:sub>
                <m:r>
                  <w:rPr/>
                  <m:t xml:space="preserve">OH</m:t>
                </m:r>
              </m:sub>
            </m:sSub>
          </m:e>
          <m:sup>
            <m:r>
              <w:rPr/>
              <m:t xml:space="preserve">eff</m:t>
            </m:r>
          </m:sup>
        </m:sSup>
        <m:r>
          <w:rPr/>
          <m:t xml:space="preserve">∇</m:t>
        </m:r>
        <m:sSub>
          <m:e>
            <m:r>
              <w:rPr/>
              <m:t xml:space="preserve">C</m:t>
            </m:r>
          </m:e>
          <m:sub>
            <m:r>
              <w:rPr/>
              <m:t xml:space="preserve">OH</m:t>
            </m:r>
          </m:sub>
        </m:sSub>
        <m:r>
          <w:rPr/>
          <m:t xml:space="preserve">)+4</m:t>
        </m:r>
        <m:sSub>
          <m:e>
            <m:r>
              <w:rPr/>
              <m:t xml:space="preserve">j</m:t>
            </m:r>
          </m:e>
          <m:sub>
            <m:r>
              <w:rPr/>
              <m:t xml:space="preserve">ORR</m:t>
            </m:r>
          </m:sub>
        </m:sSub>
        <m:sSub>
          <m:e>
            <m:r>
              <w:rPr/>
              <m:t xml:space="preserve">δ</m:t>
            </m:r>
          </m:e>
          <m:sub>
            <m:r>
              <w:rPr/>
              <m:t xml:space="preserve">Γ</m:t>
            </m:r>
          </m:sub>
        </m:sSub>
        <m:r>
          <w:rPr/>
          <m:t xml:space="preserve">−2</m:t>
        </m:r>
        <m:f>
          <m:num>
            <m:r>
              <w:rPr/>
              <m:t xml:space="preserve">∂</m:t>
            </m:r>
            <m:r>
              <w:rPr/>
              <m:t xml:space="preserve">F</m:t>
            </m:r>
          </m:num>
          <m:den>
            <m:r>
              <w:rPr/>
              <m:t xml:space="preserve">∂</m:t>
            </m:r>
            <m:r>
              <w:rPr/>
              <m:t xml:space="preserve">t</m:t>
            </m:r>
          </m:den>
        </m:f>
      </m:oMath>
      <w:r w:rsidR="00097CCF" w:rsidRPr="001A2EB4">
        <w:rPr>
          <w:rFonts w:cs="Times New Roman"/>
        </w:rPr>
        <w:tab/>
        <w:t>(</w:t>
      </w:r>
      <w:r w:rsidR="009F4B7F">
        <w:rPr>
          <w:rFonts w:cs="Times New Roman"/>
        </w:rPr>
        <w:t>10</w:t>
      </w:r>
      <w:r w:rsidR="00097CCF" w:rsidRPr="001A2EB4">
        <w:rPr>
          <w:rFonts w:cs="Times New Roman"/>
        </w:rPr>
        <w:t>)</w:t>
      </w:r>
    </w:p>
    <w:p w14:paraId="12814FEE" w14:textId="5A19A5DA" w:rsidR="00097CCF" w:rsidRPr="001A2EB4" w:rsidRDefault="007879E5" w:rsidP="00097CCF">
      <w:pPr>
        <w:pStyle w:val="BodyText"/>
        <w:ind w:firstLine="0"/>
      </w:pPr>
      <w:r w:rsidRPr="001A2EB4">
        <w:t>Here, the corrosion-product 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62BAF55B" w:rsidR="00097CCF" w:rsidRPr="001A2EB4" w:rsidRDefault="00D5249E"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Zn</m:t>
            </m:r>
          </m:sub>
        </m:sSub>
        <m:r>
          <w:rPr>
            <w:rFonts w:ascii="Cambria Math" w:hAnsi="Cambria Math"/>
          </w:rPr>
          <m:t>(1-</m:t>
        </m:r>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F</m:t>
                </m:r>
              </m:e>
              <m:sub>
                <m:r>
                  <w:rPr>
                    <w:rFonts w:ascii="Cambria Math" w:hAnsi="Cambria Math"/>
                  </w:rPr>
                  <m:t>max</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F</m:t>
        </m:r>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Cl</m:t>
                </m:r>
              </m:sub>
            </m:sSub>
          </m:e>
          <m:sup>
            <m:r>
              <w:rPr>
                <w:rFonts w:ascii="Cambria Math" w:hAnsi="Cambria Math"/>
              </w:rPr>
              <m:t>2</m:t>
            </m:r>
          </m:sup>
        </m:s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76620E2C"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which suppresses further growth as the corrosion-product concentration approaches its max</w:t>
      </w:r>
      <w:proofErr w:type="spellStart"/>
      <w:r w:rsidRPr="001A2EB4">
        <w:rPr>
          <w:rFonts w:cs="Times New Roman"/>
        </w:rPr>
        <w:t>imum</w:t>
      </w:r>
      <w:proofErr w:type="spellEnd"/>
      <w:r w:rsidRPr="001A2EB4">
        <w:rPr>
          <w:rFonts w:cs="Times New Roman"/>
        </w:rPr>
        <w:t xml:space="preserve"> </w:t>
      </w:r>
      <w:r w:rsidRPr="001A2EB4">
        <w:rPr>
          <w:rFonts w:cs="Times New Roman"/>
        </w:rPr>
        <w:t xml:space="preserve">molar concentration</w:t>
      </w:r>
      <w:r w:rsidRPr="001A2EB4">
        <w:rPr>
          <w:rFonts w:cs="Times New Roman"/>
        </w:rPr>
        <w:t xml:space="preserve"> </w:t>
      </w:r>
      <m:oMath>
        <m:sSub>
          <m:sSubPr>
            <m:ctrlPr>
              <w:rPr>
                <w:rFonts w:ascii="Cambria Math" w:hAnsi="Cambria Math" w:cs="Times New Roman"/>
              </w:rPr>
            </m:ctrlPr>
          </m:sSubPr>
          <m:e/>
          <m:sub/>
        </m:sSub>
        <m:sSub>
          <m:sSubPr>
            <m:ctrlPr>
              <w:rPr>
                <w:rFonts w:ascii="Cambria Math" w:hAnsi="Cambria Math" w:cs="Times New Roman"/>
              </w:rPr>
            </m:ctrlPr>
          </m:sSubPr>
          <m:e/>
          <m:sub/>
        </m:sSub>
      </m:oMath>
      <m:oMath>
        <m:sSub>
          <m:e>
            <m:r>
              <w:rPr/>
              <m:t xml:space="preserve">F</m:t>
            </m:r>
          </m:e>
          <m:sub>
            <m:r>
              <w:rPr/>
              <m:t xml:space="preserve">max</m:t>
            </m:r>
          </m:sub>
        </m:sSub>
        <m:r>
          <w:rPr/>
          <m:t xml:space="preserve">=</m:t>
        </m:r>
        <m:f>
          <m:num>
            <m:sSub>
              <m:e>
                <m:r>
                  <w:rPr/>
                  <m:t xml:space="preserve">ρ</m:t>
                </m:r>
              </m:e>
              <m:sub>
                <m:r>
                  <w:rPr/>
                  <m:t xml:space="preserve">film</m:t>
                </m:r>
              </m:sub>
            </m:sSub>
            <m:r>
              <w:rPr/>
              <m:t xml:space="preserve">(1−ε)</m:t>
            </m:r>
          </m:num>
          <m:den>
            <m:sSub>
              <m:e>
                <m:r>
                  <w:rPr/>
                  <m:t xml:space="preserve">M</m:t>
                </m:r>
              </m:e>
              <m:sub>
                <m:r>
                  <w:rPr/>
                  <m:t xml:space="preserve">film</m:t>
                </m:r>
              </m:sub>
            </m:sSub>
          </m:den>
        </m:f>
      </m:oMath>
      <w: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corrosion products accumulate, they impede species transport by reducing the effective diffusivity according to </w:t>
      </w:r>
      <w:r w:rsidRPr="001A2EB4">
        <w:fldChar w:fldCharType="begin"/>
      </w:r>
      <w:r w:rsidR="00A6791C">
        <w:instrText xml:space="preserve"> ADDIN ZOTERO_ITEM CSL_CITATION {"citationID":"aPcMg5PW","properties":{"unsorted":false,"formattedCitation":"\\super [30]\\nosupersub{}","plainCitation":"[30]","noteIndex":0},"citationItems":[{"id":4560,"uris":["http://zotero.org/users/16939557/items/5GV9KWGS"],"itemData":{"id":4560,"type":"book","abstract":"Diffusion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A6791C" w:rsidRPr="00A6791C">
        <w:rPr>
          <w:rFonts w:cs="Times New Roman"/>
          <w:vertAlign w:val="superscript"/>
        </w:rPr>
        <w:t>[30]</w:t>
      </w:r>
      <w:r w:rsidRPr="001A2EB4">
        <w:fldChar w:fldCharType="end"/>
      </w:r>
      <w:r w:rsidRPr="001A2EB4">
        <w:t>:</w:t>
      </w:r>
    </w:p>
    <w:p w14:paraId="21BC5BF3" w14:textId="2E47BC0D" w:rsidR="00097CCF" w:rsidRPr="001A2EB4" w:rsidRDefault="00D5249E"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45B0FB1"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is the free-solution diffusivity, and the transport reduction depends on the corrosion-product region's 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2F52CE" w:rsidRPr="001A2EB4">
        <w:rPr>
          <w:b/>
          <w:bCs/>
        </w:rPr>
        <w:t xml:space="preserve">Figure </w:t>
      </w:r>
      <w:r w:rsidR="002F52CE">
        <w:rPr>
          <w:b/>
          <w:bCs/>
          <w:noProof/>
        </w:rPr>
        <w:t>2</w:t>
      </w:r>
      <w:r w:rsidRPr="001A2EB4">
        <w:rPr>
          <w:b/>
          <w:bCs/>
        </w:rPr>
        <w:fldChar w:fldCharType="end"/>
      </w:r>
      <w:r w:rsidR="00D8369E" w:rsidRPr="001A2EB4">
        <w:rPr>
          <w:b/>
          <w:bCs/>
        </w:rPr>
        <w:t>b</w:t>
      </w:r>
      <w:r w:rsidRPr="001A2EB4">
        <w:t>.</w:t>
      </w:r>
    </w:p>
    <w:p w14:paraId="60B793CD" w14:textId="77777777" w:rsidR="000631D6" w:rsidRPr="001A2EB4" w:rsidRDefault="000631D6" w:rsidP="00E54A50">
      <w:pPr>
        <w:pStyle w:val="BodyText"/>
        <w:ind w:firstLine="0"/>
      </w:pPr>
    </w:p>
    <w:p w14:paraId="5001F639" w14:textId="4EF42BB2" w:rsidR="00E54A50" w:rsidRPr="001A2EB4" w:rsidRDefault="00E54A50" w:rsidP="00325133">
      <w:pPr>
        <w:pStyle w:val="Heading3"/>
      </w:pPr>
      <w:bookmarkStart w:id="6" w:name="_Ref239691057"/>
      <w:bookmarkStart w:id="7" w:name="sec:model:velocity"/>
      <w:r w:rsidRPr="001A2EB4">
        <w:t>Level Set Method</w:t>
      </w:r>
      <w:bookmarkEnd w:id="6"/>
    </w:p>
    <w:p w14:paraId="139876B4" w14:textId="0CEA3655"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8" w:name="_Hlk237963744"/>
      <w:r w:rsidRPr="001A2EB4">
        <w:rPr>
          <w:rFonts w:cs="Times New Roman"/>
        </w:rPr>
        <w:t>implicitly defines the interface as the zero-level set separating the metal and electrolyte domains,</w:t>
      </w:r>
      <w:bookmarkEnd w:id="8"/>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2F52CE" w:rsidRPr="001A2EB4">
        <w:rPr>
          <w:b/>
          <w:bCs/>
        </w:rPr>
        <w:t xml:space="preserve">Figure </w:t>
      </w:r>
      <w:r w:rsidR="002F52CE">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A6791C">
        <w:rPr>
          <w:rFonts w:cs="Times New Roman"/>
        </w:rPr>
        <w:instrText xml:space="preserve"> ADDIN ZOTERO_ITEM CSL_CITATION {"citationID":"r7domCi5","properties":{"unsorted":false,"formattedCitation":"\\super [31]\\nosupersub{}","plainCitation":"[31]","noteIndex":0},"citationItems":[{"id":1729,"uris":["http://zotero.org/users/16939557/items/TDPP5UDX"],"itemData":{"id":1729,"type":"article-journal","citation-key":"wilderAdaptiveLevelSet2015","container-title":"Journal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A6791C" w:rsidRPr="00A6791C">
        <w:rPr>
          <w:rFonts w:cs="Times New Roman"/>
          <w:vertAlign w:val="superscript"/>
        </w:rPr>
        <w:t>[31]</w:t>
      </w:r>
      <w:r w:rsidR="00CE2D65" w:rsidRPr="001A2EB4">
        <w:rPr>
          <w:rFonts w:cs="Times New Roman"/>
        </w:rPr>
        <w:fldChar w:fldCharType="end"/>
      </w:r>
      <w:r w:rsidRPr="001A2EB4">
        <w:rPr>
          <w:rFonts w:cs="Times New Roman"/>
        </w:rPr>
        <w:t>:</w:t>
      </w:r>
    </w:p>
    <w:p w14:paraId="5B0E9F78" w14:textId="77777777" w:rsidR="00E54A50" w:rsidRPr="001A2EB4" w:rsidRDefault="00D5249E"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2038DCCC" w14:textId="122727DF" w:rsidR="00D26518" w:rsidRPr="001A2EB4" w:rsidRDefault="00D26518" w:rsidP="009A531F">
      <w:pPr>
        <w:pStyle w:val="BodyText"/>
      </w:pPr>
      <w:r w:rsidRPr="001A2EB4">
        <w:t xml:space="preserve">where </w:t>
      </w:r>
      <w:proofErr w:type="spellStart"/>
      <w:r w:rsidRPr="001A2EB4">
        <w:t>v</w:t>
      </w:r>
      <w:r w:rsidRPr="001A2EB4">
        <w:rPr>
          <w:vertAlign w:val="subscript"/>
        </w:rPr>
        <w:t>n</w:t>
      </w:r>
      <w:proofErr w:type="spellEnd"/>
      <w:r w:rsidRPr="001A2EB4">
        <w:t xml:space="preserve"> is the normal interface velocity, negative for recession. </w:t>
      </w:r>
      <w:r w:rsidR="009A531F" w:rsidRPr="009A531F">
        <w:t xml:space="preserve">The interface velocity is not prescribed but emerges directly from the interfacial oxygen-reduction reaction. According to the reaction stoichiometry, each mole of O₂ reduced results in the dissolution of two moles of Zn. Consequently, the metal loss rate per unit area is determined by the interfacial oxygen flux. Converting this flux to an interface recession rate using the molar density of solid Zn, </w:t>
      </w:r>
      <w:r w:rsidR="009A531F" w:rsidRPr="001A2EB4">
        <w:t>[Zn]</w:t>
      </w:r>
      <w:r w:rsidR="009A531F" w:rsidRPr="001A2EB4">
        <w:rPr>
          <w:vertAlign w:val="subscript"/>
        </w:rPr>
        <w:t>sol</w:t>
      </w:r>
      <w:r w:rsidR="009A531F" w:rsidRPr="001A2EB4">
        <w:t xml:space="preserve"> = </w:t>
      </w:r>
      <w:proofErr w:type="spellStart"/>
      <w:r w:rsidR="009A531F" w:rsidRPr="001A2EB4">
        <w:t>ρ</w:t>
      </w:r>
      <w:r w:rsidR="009A531F" w:rsidRPr="001A2EB4">
        <w:rPr>
          <w:vertAlign w:val="subscript"/>
        </w:rPr>
        <w:t>Zn</w:t>
      </w:r>
      <w:proofErr w:type="spellEnd"/>
      <w:r w:rsidR="009A531F" w:rsidRPr="001A2EB4">
        <w:t>/</w:t>
      </w:r>
      <w:proofErr w:type="spellStart"/>
      <w:r w:rsidR="009A531F" w:rsidRPr="001A2EB4">
        <w:t>M</w:t>
      </w:r>
      <w:r w:rsidR="009A531F" w:rsidRPr="001A2EB4">
        <w:rPr>
          <w:vertAlign w:val="subscript"/>
        </w:rPr>
        <w:t>Zn</w:t>
      </w:r>
      <w:proofErr w:type="spellEnd"/>
      <w:r w:rsidR="009A531F" w:rsidRPr="009A531F">
        <w:t>​, yields:</w:t>
      </w:r>
    </w:p>
    <w:p w14:paraId="7A4E3A78" w14:textId="3861E290" w:rsidR="00E54A50" w:rsidRPr="001A2EB4" w:rsidRDefault="00D5249E"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sub/>
        </m:sSub>
        <m:f>
          <m:fPr>
            <m:ctrlPr>
              <w:rPr>
                <w:rFonts w:ascii="Cambria Math" w:hAnsi="Cambria Math" w:cs="Times New Roman"/>
              </w:rPr>
            </m:ctrlPr>
          </m:fPr>
          <m:num>
            <m:sSub>
              <m:sSubPr>
                <m:ctrlPr>
                  <w:rPr>
                    <w:rFonts w:ascii="Cambria Math" w:hAnsi="Cambria Math" w:cs="Times New Roman"/>
                  </w:rPr>
                </m:ctrlPr>
              </m:sSubPr>
              <m:e/>
              <m:sub/>
            </m:sSub>
            <m:sSub>
              <m:sSubPr>
                <m:ctrlPr>
                  <w:rPr>
                    <w:rFonts w:ascii="Cambria Math" w:hAnsi="Cambria Math" w:cs="Times New Roman"/>
                  </w:rPr>
                </m:ctrlPr>
              </m:sSubPr>
              <m:e/>
              <m:sub>
                <m:sSub>
                  <m:sSubPr>
                    <m:ctrlPr>
                      <w:rPr>
                        <w:rFonts w:ascii="Cambria Math" w:hAnsi="Cambria Math" w:cs="Times New Roman"/>
                      </w:rPr>
                    </m:ctrlPr>
                  </m:sSubPr>
                  <m:e/>
                  <m:sub/>
                </m:sSub>
              </m:sub>
            </m:sSub>
            <m:sSub>
              <m:sSubPr>
                <m:ctrlPr>
                  <w:rPr>
                    <w:rFonts w:ascii="Cambria Math" w:hAnsi="Cambria Math" w:cs="Times New Roman"/>
                  </w:rPr>
                </m:ctrlPr>
              </m:sSubPr>
              <m:e/>
              <m:sub/>
            </m:sSub>
          </m:num>
          <m:den>
            <m:sSub>
              <m:sSubPr>
                <m:ctrlPr>
                  <w:rPr>
                    <w:rFonts w:ascii="Cambria Math" w:hAnsi="Cambria Math" w:cs="Times New Roman"/>
                  </w:rPr>
                </m:ctrlPr>
              </m:sSubPr>
              <m:e/>
              <m:sub/>
            </m:sSub>
          </m:den>
        </m:f>
      </m:oMath>
      <m:oMath>
        <m:sSub>
          <m:e>
            <m:r>
              <w:rPr/>
              <m:t xml:space="preserve">v</m:t>
            </m:r>
          </m:e>
          <m:sub>
            <m:r>
              <w:rPr/>
              <m:t xml:space="preserve">n</m:t>
            </m:r>
          </m:sub>
        </m:sSub>
        <m:r>
          <w:rPr/>
          <m:t xml:space="preserve">=−</m:t>
        </m:r>
        <m:f>
          <m:num>
            <m:r>
              <w:rPr/>
              <m:t xml:space="preserve">2</m:t>
            </m:r>
            <m:sSub>
              <m:e>
                <m:r>
                  <w:rPr/>
                  <m:t xml:space="preserve">j</m:t>
                </m:r>
              </m:e>
              <m:sub>
                <m:r>
                  <w:rPr/>
                  <m:t xml:space="preserve">ORR</m:t>
                </m:r>
              </m:sub>
            </m:sSub>
          </m:num>
          <m:den>
            <m:sSub>
              <m:e>
                <m:r>
                  <w:rPr/>
                  <m:t xml:space="preserve">[Zn]</m:t>
                </m:r>
              </m:e>
              <m:sub>
                <m:r>
                  <w:rPr/>
                  <m:t xml:space="preserve">sol</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7EF1B66" w14:textId="34026633" w:rsidR="00D26518" w:rsidRPr="001A2EB4" w:rsidRDefault="00D26518" w:rsidP="00D1626D">
      <w:pPr>
        <w:pStyle w:val="BodyText"/>
        <w:rPr/>
      </w:pPr>
      <w:r w:rsidRPr="001A2EB4">
        <w:t xml:space="preserve">where j</w:t>
      </w:r>
      <w:r w:rsidRPr="001A2EB4">
        <w:rPr>
          <w:vertAlign w:val="subscript"/>
        </w:rPr>
        <w:t xml:space="preserve">ORR</w:t>
      </w:r>
      <w:r w:rsidRPr="001A2EB4">
        <w:t xml:space="preserve"> is the ORR molar flux defined above, so that v</w:t>
      </w:r>
      <w:r w:rsidRPr="001A2EB4">
        <w:rPr>
          <w:vertAlign w:val="subscript"/>
        </w:rPr>
        <w:t xml:space="preserve">n</w:t>
      </w:r>
      <w:r w:rsidRPr="001A2EB4">
        <w:t xml:space="preserve"> has units of (mol mm⁻² h⁻¹)/(mol mm⁻³) = mm h⁻¹. Oxygen consumption is represented by the interface-localized sink in Equation 7. As oxygen transport to the interface becomes restricted, the interfacial oxygen concentration decreases, thereby reducing both the ORR flux and the interface recession velocity. Therefore, no separate velocity cap or rate-selection criterion is required. The transition from reaction-controlled to diffusion-controlled degradation emerges naturally from the depletion of interfacial oxygen and its coupling with transport processes (Section S1). Through this formulation, interface recession, oxygen consumption, Zn²⁺ release, OH⁻ generation, and corrosion-product growth are governed by a single oxygen-reduction flux, ensuring a mechanistically consistent link between interfacial chemistry, mass transport, and degradation kinetics.</w:t>
      </w:r>
    </w:p>
    <w:p w14:paraId="11E93CDF" w14:textId="77777777" w:rsidR="008F2761" w:rsidRPr="001A2EB4" w:rsidRDefault="008F2761" w:rsidP="001F250F">
      <w:pPr>
        <w:pStyle w:val="BodyText"/>
        <w:ind w:firstLine="0"/>
      </w:pPr>
    </w:p>
    <w:p w14:paraId="7BC724F6" w14:textId="77777777" w:rsidR="00E54A50" w:rsidRPr="001A2EB4" w:rsidRDefault="00E54A50" w:rsidP="000631D6">
      <w:pPr>
        <w:pStyle w:val="Heading2"/>
      </w:pPr>
      <w:bookmarkStart w:id="11" w:name="_Ref240381709"/>
      <w:bookmarkStart w:id="12" w:name="tab:params"/>
      <w:r w:rsidRPr="001A2EB4">
        <w:t>Numerical Implementation and Simulation Setup</w:t>
      </w:r>
      <w:bookmarkEnd w:id="11"/>
    </w:p>
    <w:p w14:paraId="27EF1B66" w14:textId="34026633"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Parametrically generated implant geometries were discretized into tetrahedral meshes and embedded within a 30 × 30 × 30 mm electrolyte domain</w:t>
      </w:r>
      <w:r w:rsidR="00024712" w:rsidRPr="001A2EB4">
        <w:t>,</w:t>
      </w:r>
      <w:r w:rsidR="00024712" w:rsidRPr="001A2EB4">
        <w:t xml:space="preserve"> identical for the disc and the stent and larger than three times the implant characteristic dimension in each direction</w:t>
      </w:r>
      <w:r w:rsidR="00024712" w:rsidRPr="001A2EB4">
        <w:t>,</w:t>
      </w:r>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0.2% with further refinement (</w:t>
      </w:r>
      <w:r w:rsidRPr="00FD7271">
        <w:rPr>
          <w:b/>
          <w:bCs/>
        </w:rPr>
        <w:t>Section S2</w:t>
      </w:r>
      <w:r w:rsidRPr="001A2EB4">
        <w:t>).</w:t>
      </w:r>
    </w:p>
    <w:p w14:paraId="17BAEB51" w14:textId="7AD7EC09"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 The 48 h medium renewal used in the immersion tests was not modeled explicitly; instead, dissolved oxygen was assumed to be continuously replenished at the electrolyte–air interface</w:t>
      </w:r>
      <w:r w:rsidR="00442207">
        <w:t xml:space="preserve"> and </w:t>
      </w:r>
      <w:r w:rsidRPr="001A2EB4">
        <w:t xml:space="preserve">no natural convection was considered (static conditions).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normalized corrosion-product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2F52CE" w:rsidRPr="001A2EB4">
        <w:rPr>
          <w:b/>
          <w:bCs/>
        </w:rPr>
        <w:t xml:space="preserve">Table </w:t>
      </w:r>
      <w:r w:rsidR="002F52CE">
        <w:rPr>
          <w:b/>
          <w:bCs/>
          <w:noProof/>
        </w:rPr>
        <w:t>1</w:t>
      </w:r>
      <w:r w:rsidRPr="001A2EB4">
        <w:rPr>
          <w:b/>
          <w:bCs/>
        </w:rPr>
        <w:fldChar w:fldCharType="end"/>
      </w:r>
      <w:r w:rsidRPr="001A2EB4">
        <w:t xml:space="preserve"> </w:t>
      </w:r>
      <w:r w:rsidR="0004311D" w:rsidRPr="001A2EB4">
        <w:t xml:space="preserve">summarizes </w:t>
      </w:r>
      <w:r w:rsidR="0004311D" w:rsidRPr="001A2EB4">
        <w:t xml:space="preserve">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 xml:space="preserve">used in the simulations. </w:t>
      </w:r>
    </w:p>
    <w:p w14:paraId="5BC5B0D0" w14:textId="77777777" w:rsidR="00633455" w:rsidRPr="001A2EB4" w:rsidRDefault="00633455" w:rsidP="00D26518">
      <w:pPr>
        <w:pStyle w:val="BodyText"/>
        <w:ind w:firstLine="0"/>
      </w:pPr>
    </w:p>
    <w:p w14:paraId="6B0F207C" w14:textId="6947678B" w:rsidR="00E54A50" w:rsidRPr="001A2EB4" w:rsidRDefault="00E54A50" w:rsidP="00871D7C">
      <w:pPr>
        <w:pStyle w:val="Captions"/>
        <w:keepNext/>
        <w:rPr>
          <w:rFonts w:cs="Times New Roman"/>
        </w:rPr>
      </w:pPr>
      <w:bookmarkStart w:id="15"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2F52CE">
        <w:rPr>
          <w:b/>
          <w:bCs/>
          <w:noProof/>
        </w:rPr>
        <w:t>1</w:t>
      </w:r>
      <w:r w:rsidRPr="001A2EB4">
        <w:rPr>
          <w:b/>
          <w:bCs/>
        </w:rPr>
        <w:fldChar w:fldCharType="end"/>
      </w:r>
      <w:bookmarkEnd w:id="15"/>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D5249E"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3B8B099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{"citationID":"bkkoCSJb","properties":{"unsorted":false,"formattedCitation":"\\super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D5249E"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651BD4D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{"citationID":"fY7GQsE5","properties":{"unsorted":false,"formattedCitation":"\\super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28043ABB"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{"citationID":"Vft5a5IP","properties":{"unsorted":false,"formattedCitation":"\\super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25CA0C1E"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{"citationID":"l2tMpFrk","properties":{"unsorted":false,"formattedCitation":"\\super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20AB05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{"citationID":"NlQlyJ8K","properties":{"unsorted":false,"formattedCitation":"\\super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D5249E"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686D8C3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{"citationID":"m13lUIve","properties":{"unsorted":false,"formattedCitation":"\\super [33]\\nosupersub{}","plainCitation":"[33]","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[33]</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D5249E"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20108580" w:rsidR="00E54A50" w:rsidRPr="001A2EB4" w:rsidRDefault="00E54A50" w:rsidP="00641024">
            <w:pPr>
              <w:pStyle w:val="Compact"/>
              <w:spacing w:before="0" w:after="0" w:line="240" w:lineRule="auto"/>
              <w:jc w:val="left"/>
              <w:rPr>
                <w:rFonts w:cs="Times New Roman"/>
                <w:sz w:val="22"/>
                <w:szCs w:val="22"/>
              </w:rPr>
            </w:pPr>
            <w:r>
              <w:rPr>
                <w:rFonts w:cs="Times New Roman"/>
                <w:sz w:val="22"/>
                <w:szCs w:val="22"/>
              </w:rPr>
              <w:t>5</w:t>
            </w:r>
            <w:r w:rsidRPr="001A2EB4">
              <w:rPr>
                <w:rFonts w:cs="Times New Roman"/>
                <w:sz w:val="22"/>
                <w:szCs w:val="22"/>
              </w:rPr>
              <w:t>.</w:t>
            </w:r>
            <w:r>
              <w:rPr>
                <w:rFonts w:cs="Times New Roman"/>
                <w:sz w:val="22"/>
                <w:szCs w:val="22"/>
              </w:rPr>
              <w:t>606</w:t>
            </w:r>
            <w:r w:rsidRPr="001A2EB4">
              <w:rPr>
                <w:rFonts w:cs="Times New Roman"/>
                <w:sz w:val="22"/>
                <w:szCs w:val="22"/>
              </w:rPr>
              <w:t> g cm</w:t>
            </w:r>
            <w:r w:rsidRPr="001A2EB4">
              <w:rPr>
                <w:rFonts w:cs="Times New Roman"/>
                <w:sz w:val="22"/>
                <w:szCs w:val="22"/>
                <w:vertAlign w:val="superscript"/>
              </w:rPr>
              <w:t>−3</w:t>
            </w:r>
          </w:p>
        </w:tc>
        <w:tc>
          <w:tcPr>
            <w:tcW w:w="774" w:type="pct"/>
          </w:tcPr>
          <w:p w14:paraId="2D7165F6" w14:textId="292CFBF3"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{"citationID":"hHwQHmrQ","properties":{"unsorted":false,"formattedCitation":"\\super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30970F0"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{"citationID":"oOAQfSGY","properties":{"unsorted":false,"formattedCitation":"\\super [34]\\nosupersub{}","plainCitation":"[34]","noteIndex":0},"citationItems":[{"id":4093,"uris":["http://zotero.org/users/16939557/items/UL4PDBDZ"],"itemData":{"id":4093,"type":"article-journal","abstract":"Porous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[34]</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D5249E"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61F4CCFB" w:rsidR="00E54A50" w:rsidRPr="001A2EB4" w:rsidRDefault="00E54A50" w:rsidP="00CB5BB3">
            <w:pPr>
              <w:pStyle w:val="Compact"/>
              <w:spacing w:before="0" w:after="0"/>
              <w:jc w:val="left"/>
              <w:rPr>
                <w:rFonts w:cs="Times New Roman"/>
                <w:sz w:val="22"/>
                <w:szCs w:val="22"/>
              </w:rPr>
            </w:pPr>
            <w:r>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01984D80"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1F250F">
              <w:rPr>
                <w:rFonts w:cs="Times New Roman"/>
                <w:sz w:val="22"/>
                <w:vertAlign w:val="superscript"/>
              </w:rPr>
              <w:instrText xml:space="preserve"> ADDIN ZOTERO_ITEM CSL_CITATION {"citationID":"Au8QZnxE","properties":{"unsorted":false,"formattedCitation":"\\super [35]\\nosupersub{}","plainCitation":"[35]","noteIndex":0},"citationItems":[{"id":3991,"uris":["http://zotero.org/users/16939557/items/PJ5WSM85"],"itemData":{"id":3991,"type":"chapter","abstract":"Abstract\n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1F250F" w:rsidRPr="001F250F">
              <w:rPr>
                <w:rFonts w:cs="Times New Roman"/>
                <w:sz w:val="22"/>
                <w:vertAlign w:val="superscript"/>
              </w:rPr>
              <w:t>[35]</w:t>
            </w:r>
            <w:r w:rsidRPr="001A2EB4">
              <w:rPr>
                <w:rFonts w:cs="Times New Roman"/>
                <w:sz w:val="22"/>
                <w:vertAlign w:val="superscript"/>
              </w:rPr>
              <w:fldChar w:fldCharType="end"/>
            </w:r>
          </w:p>
          <w:p w14:paraId="3C66266F" w14:textId="7E61537C"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1F250F">
              <w:rPr>
                <w:rFonts w:cs="Times New Roman"/>
                <w:sz w:val="22"/>
                <w:szCs w:val="22"/>
              </w:rPr>
              <w:instrText xml:space="preserve"> ADDIN ZOTERO_ITEM CSL_CITATION {"citationID":"9qIzsxfq","properties":{"unsorted":false,"formattedCitation":"\\super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4199567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vertAlign w:val="superscript"/>
              </w:rPr>
              <w:t xml:space="preserve"> </w:t>
            </w:r>
            <w:r w:rsidRPr="008F2761">
              <w:rPr>
                <w:rFonts w:cs="Times New Roman"/>
                <w:sz w:val="22"/>
                <w:szCs w:val="22"/>
              </w:rPr>
              <w:t xml:space="preserve">1</w:t>
            </w:r>
            <w:r w:rsidRPr="008F2761">
              <w:rPr>
                <w:rFonts w:cs="Times New Roman"/>
                <w:sz w:val="22"/>
                <w:szCs w:val="22"/>
              </w:rPr>
              <w:t xml:space="preserve">.</w:t>
            </w:r>
            <w:r w:rsidRPr="008F2761">
              <w:rPr>
                <w:rFonts w:cs="Times New Roman"/>
                <w:sz w:val="22"/>
                <w:szCs w:val="22"/>
              </w:rPr>
              <w:t xml:space="preserve">42</w:t>
            </w:r>
            <w:r w:rsidRPr="008F2761">
              <w:rPr>
                <w:rFonts w:cs="Times New Roman"/>
                <w:sz w:val="22"/>
                <w:szCs w:val="22"/>
              </w:rPr>
              <w:t xml:space="preserve"> × 10⁻</w:t>
            </w:r>
            <w:r w:rsidRPr="008F2761">
              <w:rPr>
                <w:rFonts w:cs="Times New Roman"/>
                <w:sz w:val="22"/>
                <w:szCs w:val="22"/>
              </w:rPr>
              <w:t xml:space="preserve">⁷</w:t>
            </w:r>
            <w:r w:rsidRPr="008F2761">
              <w:rPr>
                <w:rFonts w:cs="Times New Roman"/>
                <w:sz w:val="22"/>
                <w:szCs w:val="22"/>
              </w:rPr>
              <w:t xml:space="preserve"> </w:t>
            </w:r>
            <w:r w:rsidRPr="008F2761">
              <w:rPr>
                <w:rFonts w:cs="Times New Roman"/>
                <w:sz w:val="22"/>
                <w:szCs w:val="22"/>
              </w:rPr>
              <w:t xml:space="preserve">mol</w:t>
            </w:r>
            <w:r w:rsidRPr="008F2761">
              <w:rPr>
                <w:rFonts w:cs="Times New Roman"/>
                <w:sz w:val="22"/>
                <w:szCs w:val="22"/>
              </w:rPr>
              <w:t xml:space="preserve"> mm⁻³</w:t>
            </w:r>
          </w:p>
        </w:tc>
        <w:tc>
          <w:tcPr>
            <w:tcW w:w="774" w:type="pct"/>
          </w:tcPr>
          <w:p w14:paraId="059E50EA" w14:textId="3C4462B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{"citationID":"ZtOdV6sS","properties":{"unsorted":false,"formattedCitation":"\\super [36]\\nosupersub{}","plainCitation":"[36]","noteIndex":0},"citationItems":[{"id":4092,"uris":["http://zotero.org/users/16939557/items/946AFXXG"],"itemData":{"id":4092,"type":"article-journal","abstract":"The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[36]</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D5249E"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77632B40"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vertAlign w:val="superscript"/>
              </w:rPr>
              <w:t xml:space="preserve"> </w:t>
            </w:r>
            <w:r w:rsidRPr="008F2761">
              <w:rPr>
                <w:rFonts w:cs="Times New Roman"/>
                <w:sz w:val="22"/>
                <w:szCs w:val="22"/>
              </w:rPr>
              <w:t xml:space="preserve">1</w:t>
            </w:r>
            <w:r w:rsidRPr="008F2761">
              <w:rPr>
                <w:rFonts w:cs="Times New Roman"/>
                <w:sz w:val="22"/>
                <w:szCs w:val="22"/>
              </w:rPr>
              <w:t xml:space="preserve">.</w:t>
            </w:r>
            <w:r w:rsidRPr="008F2761">
              <w:rPr>
                <w:rFonts w:cs="Times New Roman"/>
                <w:sz w:val="22"/>
                <w:szCs w:val="22"/>
              </w:rPr>
              <w:t xml:space="preserve">09</w:t>
            </w:r>
            <w:r w:rsidRPr="008F2761">
              <w:rPr>
                <w:rFonts w:cs="Times New Roman"/>
                <w:sz w:val="22"/>
                <w:szCs w:val="22"/>
              </w:rPr>
              <w:t xml:space="preserve"> × 10⁻</w:t>
            </w:r>
            <w:r w:rsidRPr="008F2761">
              <w:rPr>
                <w:rFonts w:cs="Times New Roman"/>
                <w:sz w:val="22"/>
                <w:szCs w:val="22"/>
              </w:rPr>
              <w:t xml:space="preserve">¹⁰</w:t>
            </w:r>
            <w:r w:rsidRPr="008F2761">
              <w:rPr>
                <w:rFonts w:cs="Times New Roman"/>
                <w:sz w:val="22"/>
                <w:szCs w:val="22"/>
              </w:rPr>
              <w:t xml:space="preserve"> </w:t>
            </w:r>
            <w:r w:rsidRPr="008F2761">
              <w:rPr>
                <w:rFonts w:cs="Times New Roman"/>
                <w:sz w:val="22"/>
                <w:szCs w:val="22"/>
              </w:rPr>
              <w:t xml:space="preserve">mol</w:t>
            </w:r>
            <w:r w:rsidRPr="008F2761">
              <w:rPr>
                <w:rFonts w:cs="Times New Roman"/>
                <w:sz w:val="22"/>
                <w:szCs w:val="22"/>
              </w:rPr>
              <w:t xml:space="preserve"> mm⁻³</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3CFEBF9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{"citationID":"GVtRPvVm","properties":{"unsorted":false,"formattedCitation":"\\super [37]\\nosupersub{}","plainCitation":"[37]","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[37]</w:t>
            </w:r>
            <w:r w:rsidRPr="001A2EB4">
              <w:rPr>
                <w:rFonts w:cs="Times New Roman"/>
                <w:sz w:val="22"/>
                <w:szCs w:val="22"/>
              </w:rPr>
              <w:fldChar w:fldCharType="end"/>
            </w:r>
          </w:p>
        </w:tc>
      </w:tr>
      <w:bookmarkEnd w:id="12"/>
    </w:tbl>
    <w:p w14:paraId="77CFBF34" w14:textId="77777777" w:rsidR="00E54A50" w:rsidRPr="001A2EB4" w:rsidRDefault="00E54A50" w:rsidP="00E54A50">
      <w:pPr>
        <w:pStyle w:val="BodyText"/>
        <w:ind w:firstLine="0"/>
        <w:rPr>
          <w:rFonts w:cs="Times New Roman"/>
        </w:rPr>
      </w:pPr>
    </w:p>
    <w:bookmarkEnd w:id="7"/>
    <w:p w14:paraId="77E72313" w14:textId="77777777" w:rsidR="00E54A50" w:rsidRPr="001A2EB4" w:rsidRDefault="00E54A50" w:rsidP="000631D6">
      <w:pPr>
        <w:pStyle w:val="Heading2"/>
      </w:pPr>
      <w:r w:rsidRPr="001A2EB4">
        <w:t>Model Optimization and Calibration</w:t>
      </w:r>
    </w:p>
    <w:p w14:paraId="1EF45F4D" w14:textId="2810F7A1"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1F250F">
        <w:rPr>
          <w:rFonts w:cs="Times New Roman"/>
        </w:rPr>
        <w:instrText xml:space="preserve"> ADDIN ZOTERO_ITEM CSL_CITATION {"citationID":"4C0fw3Ct","properties":{"unsorted":false,"formattedCitation":"\\super [38]\\nosupersub{}","plainCitation":"[38]","noteIndex":0},"citationItems":[{"id":3943,"uris":["http://zotero.org/users/16939557/items/QAXDRACS"],"itemData":{"id":3943,"type":"article-journal","citation-key":"liuInitialFormationCorrosion2018","container-title":"Journal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1F250F" w:rsidRPr="001F250F">
        <w:rPr>
          <w:rFonts w:cs="Times New Roman"/>
          <w:vertAlign w:val="superscript"/>
        </w:rPr>
        <w:t>[38]</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Optimal parameter combinations were identified by minimizing the RMSE </w:t>
      </w:r>
      <w:r w:rsidR="00435C38" w:rsidRPr="001A2EB4">
        <w:t xml:space="preserve">between simulated and literature mass-loss data. </w:t>
      </w:r>
      <w:r w:rsidR="00881520" w:rsidRPr="001A2EB4">
        <w:t xml:space="preserve">The calibrated model was then validated against the HBSS immersion dataset generated in the present study. </w:t>
      </w:r>
    </w:p>
    <w:p w14:paraId="73D43328" w14:textId="5374CA9F"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xml:space="preserve">. Each parameter was varied above and below the baseline values while the remaining parameters were held constant. The resulting changes in mass loss, corrosion-product saturation (F/Fₘₐₓ), and interfacial oxygen concentration were analyzed to </w:t>
      </w:r>
      <w:r w:rsidR="00952D2B" w:rsidRPr="001A2EB4">
        <w:t>investigate</w:t>
      </w:r>
      <w:r w:rsidRPr="001A2EB4">
        <w:t xml:space="preserve"> the roles of passivation, corrosion-product 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11BBB4"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1F250F">
        <w:instrText xml:space="preserve"> ADDIN ZOTERO_ITEM CSL_CITATION {"citationID":"9eSARvh4","properties":{"unsorted":false,"formattedCitation":"\\super [39]\\nosupersub{}","plainCitation":"[39]","noteIndex":0},"citationItems":[{"id":3479,"uris":["http://zotero.org/users/16939557/items/VGDYQBA9"],"itemData":{"id":3479,"type":"article-journal","citation-key":"mostaedZincbasedAlloysDegradable2018","container-title":"Acta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1F250F" w:rsidRPr="001F250F">
        <w:rPr>
          <w:rFonts w:cs="Times New Roman"/>
          <w:vertAlign w:val="superscript"/>
        </w:rPr>
        <w:t>[39]</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2F52CE">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1C569946" w:rsidR="00241425" w:rsidRDefault="00241425" w:rsidP="000631D6">
      <w:pPr>
        <w:pStyle w:val="BodyText"/>
        <w:ind w:firstLine="0"/>
      </w:pPr>
    </w:p>
    <w:p w14:paraId="4142E680" w14:textId="3E918EB2" w:rsidR="004208A4" w:rsidRDefault="004208A4" w:rsidP="000631D6">
      <w:pPr>
        <w:pStyle w:val="BodyText"/>
        <w:ind w:firstLine="0"/>
      </w:pPr>
    </w:p>
    <w:p w14:paraId="711C2677" w14:textId="5FFCA155" w:rsidR="004208A4" w:rsidRDefault="004208A4" w:rsidP="000631D6">
      <w:pPr>
        <w:pStyle w:val="BodyText"/>
        <w:ind w:firstLine="0"/>
      </w:pPr>
    </w:p>
    <w:p w14:paraId="79C62EB0" w14:textId="42FA1CF5" w:rsidR="004208A4" w:rsidRDefault="004208A4" w:rsidP="000631D6">
      <w:pPr>
        <w:pStyle w:val="BodyText"/>
        <w:ind w:firstLine="0"/>
      </w:pPr>
    </w:p>
    <w:p w14:paraId="1035C922" w14:textId="7A71E6EE" w:rsidR="004208A4" w:rsidRDefault="004208A4" w:rsidP="000631D6">
      <w:pPr>
        <w:pStyle w:val="BodyText"/>
        <w:ind w:firstLine="0"/>
      </w:pPr>
    </w:p>
    <w:p w14:paraId="7EB52088" w14:textId="77777777" w:rsidR="004208A4" w:rsidRPr="001A2EB4" w:rsidRDefault="004208A4"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62E1AB9C" w:rsidR="000631D6" w:rsidRPr="001A2EB4" w:rsidRDefault="000631D6" w:rsidP="000631D6">
      <w:pPr>
        <w:pStyle w:val="FirstParagraph"/>
        <w:ind w:firstLine="360"/>
        <w:rPr>
          <w:rFonts w:cs="Times New Roman"/>
        </w:rPr>
      </w:pPr>
      <w:bookmarkStart w:id="17" w:name="fig:gsa"/>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p>
    <w:p w14:paraId="3A548170" w14:textId="77777777" w:rsidR="00D26518" w:rsidRPr="001A2EB4" w:rsidRDefault="00D26518" w:rsidP="00D1626D">
      <w:pPr>
        <w:pStyle w:val="BodyText"/>
        <w:rPr/>
      </w:pPr>
      <w:r w:rsidRPr="001A2EB4">
        <w:t>The Morris sensitivity analysis (Figure 3a) identified dissolved oxygen availability (C</w:t>
      </w:r>
      <w:r w:rsidRPr="001A2EB4">
        <w:rPr>
          <w:vertAlign w:val="subscript"/>
        </w:rPr>
        <w:t>O2</w:t>
      </w:r>
      <w:r w:rsidRPr="001A2EB4">
        <w:t>) as the dominant control on Zn mass loss, followed by the ORR rate constant (</w:t>
      </w:r>
      <w:proofErr w:type="spellStart"/>
      <w:r w:rsidRPr="001A2EB4">
        <w:t>k</w:t>
      </w:r>
      <w:r w:rsidRPr="001A2EB4">
        <w:rPr>
          <w:vertAlign w:val="subscript"/>
        </w:rPr>
        <w:t>ORR</w:t>
      </w:r>
      <w:proofErr w:type="spellEnd"/>
      <w:r w:rsidRPr="001A2EB4">
        <w:t>); the corrosion-product coefficients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and the oxygen diffusivity had smaller effects [ranking to be confirmed by repeating the analysis over the calibration ranges]. The diffusivities of Zn²⁺, Cl⁻ and OH⁻ showed negligible sensitivity and were fixed at literature values (Table 1). The strong sensitivity to oxygen-related parameters is consistent with experimental observations of oxygen-controlled Zn biodegradation under physiological conditions </w:t>
      </w:r>
      <w:r w:rsidR="00B30658" w:rsidRPr="001A2EB4">
        <w:rPr>
          <w:rFonts w:cs="Times New Roman"/>
        </w:rPr>
        <w:fldChar w:fldCharType="begin"/>
      </w:r>
      <w:r w:rsidR="00B30658" w:rsidRPr="001A2EB4">
        <w:rPr>
          <w:rFonts w:cs="Times New Roman"/>
        </w:rPr>
        <w:fldChar w:fldCharType="separate"/>
      </w:r>
      <w:r w:rsidR="00B30658" w:rsidRPr="001A2EB4">
        <w:rPr>
          <w:rFonts w:cs="Times New Roman"/>
        </w:rPr>
        <w:fldChar w:fldCharType="end"/>
      </w:r>
      <w:r w:rsidRPr="001A2EB4">
        <w:t>. C</w:t>
      </w:r>
      <w:r w:rsidRPr="001A2EB4">
        <w:rPr>
          <w:vertAlign w:val="subscript"/>
        </w:rPr>
        <w:t>O2</w:t>
      </w:r>
      <w:r w:rsidRPr="001A2EB4">
        <w:t xml:space="preserve"> and the film parameters were fixed at literature-derived values to preserve physical realism and avoid compensatory parameter fitting, so calibration was restricted to the three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and </w:t>
      </w:r>
      <w:proofErr w:type="spellStart"/>
      <w:r w:rsidRPr="001A2EB4">
        <w:t>k</w:t>
      </w:r>
      <w:r w:rsidRPr="001A2EB4">
        <w:rPr>
          <w:vertAlign w:val="subscript"/>
        </w:rPr>
        <w:t>ORR</w:t>
      </w:r>
      <w:proofErr w:type="spellEnd"/>
      <w:r w:rsidRPr="001A2EB4">
        <w:t>.</w:t>
      </w:r>
    </w:p>
    <w:p w14:paraId="56F6660D" w14:textId="77777777" w:rsidR="00D26518" w:rsidRPr="001A2EB4" w:rsidRDefault="00D26518" w:rsidP="00D1626D">
      <w:pPr>
        <w:pStyle w:val="BodyText"/>
        <w:rPr/>
      </w:pPr>
      <w:r w:rsidRPr="001A2EB4">
        <w:t xml:space="preserve">These parameters were calibrated within the 3D reaction-diffusion framework using Gaussian-process-assisted Bayesian optimization against the 14-day mass-loss data (Figure 3b). The optimized parameter set (Table 2) yielded a minimum RMSE of [x]% (percentage points) against the calibration dataset. Only </w:t>
      </w:r>
      <w:proofErr w:type="spellStart"/>
      <w:r w:rsidRPr="001A2EB4">
        <w:t>k</w:t>
      </w:r>
      <w:r w:rsidRPr="001A2EB4">
        <w:rPr>
          <w:vertAlign w:val="subscript"/>
        </w:rPr>
        <w:t>ORR</w:t>
      </w:r>
      <w:proofErr w:type="spellEnd"/>
      <w:r w:rsidRPr="001A2EB4">
        <w:t xml:space="preserve"> was identifiable from the mass-loss data; fits of similar quality were obtained over wide ranges of </w:t>
      </w:r>
      <w:proofErr w:type="spellStart"/>
      <w:r w:rsidRPr="001A2EB4">
        <w:t>k</w:t>
      </w:r>
      <w:r w:rsidRPr="001A2EB4">
        <w:rPr>
          <w:vertAlign w:val="subscript"/>
        </w:rPr>
        <w:t>f</w:t>
      </w:r>
      <w:proofErr w:type="spellEnd"/>
      <w:r w:rsidRPr="001A2EB4">
        <w:t xml:space="preserve"> and </w:t>
      </w:r>
      <w:proofErr w:type="spellStart"/>
      <w:r w:rsidRPr="001A2EB4">
        <w:t>k</w:t>
      </w:r>
      <w:r w:rsidRPr="001A2EB4">
        <w:rPr>
          <w:vertAlign w:val="subscript"/>
        </w:rPr>
        <w:t>d</w:t>
      </w:r>
      <w:proofErr w:type="spellEnd"/>
      <w:r w:rsidRPr="001A2EB4">
        <w:t xml:space="preserve"> [ranges to be stated from the v4 run]. These results show that the framework can reproduce the calibration measurements, subject to independent validation.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5436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543694"/>
                    </a:xfrm>
                    <a:prstGeom prst="rect">
                      <a:avLst/>
                    </a:prstGeom>
                  </pic:spPr>
                </pic:pic>
              </a:graphicData>
            </a:graphic>
          </wp:inline>
        </w:drawing>
      </w:r>
    </w:p>
    <w:p w14:paraId="6CADF4D6" w14:textId="26B8E943" w:rsidR="0090588D" w:rsidRPr="001A2EB4" w:rsidRDefault="0090588D" w:rsidP="0090588D">
      <w:pPr>
        <w:pStyle w:val="Captions"/>
      </w:pPr>
      <w:bookmarkStart w:id="60"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3</w:t>
      </w:r>
      <w:r w:rsidRPr="001A2EB4">
        <w:rPr>
          <w:b/>
          <w:bCs/>
        </w:rPr>
        <w:fldChar w:fldCharType="end"/>
      </w:r>
      <w:bookmarkEnd w:id="60"/>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w:t>
      </w:r>
      <w:r w:rsidRPr="001A2EB4">
        <w:t xml:space="preserve"> model.</w:t>
      </w:r>
    </w:p>
    <w:p w14:paraId="17698438" w14:textId="77777777" w:rsidR="00215165" w:rsidRPr="001A2EB4" w:rsidRDefault="00215165" w:rsidP="0090588D">
      <w:pPr>
        <w:pStyle w:val="Captions"/>
      </w:pPr>
    </w:p>
    <w:p w14:paraId="7622B570" w14:textId="6FED57CD" w:rsidR="0090588D" w:rsidRPr="001A2EB4" w:rsidRDefault="0090588D" w:rsidP="001212AC">
      <w:pPr>
        <w:pStyle w:val="Captions"/>
        <w:keepNext/>
        <w:rPr>
          <w:i/>
        </w:rPr>
      </w:pPr>
      <w:bookmarkStart w:id="61" w:name="_Ref238636197"/>
      <w:bookmarkStart w:id="62"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2F52CE">
        <w:rPr>
          <w:b/>
          <w:bCs/>
          <w:noProof/>
        </w:rPr>
        <w:t>2</w:t>
      </w:r>
      <w:r w:rsidRPr="001A2EB4">
        <w:rPr>
          <w:b/>
          <w:bCs/>
        </w:rPr>
        <w:fldChar w:fldCharType="end"/>
      </w:r>
      <w:bookmarkEnd w:id="61"/>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D5249E"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 xml:space="preserve">[1, </w:t>
            </w:r>
            <w:r w:rsidRPr="001A2EB4">
              <w:rPr>
                <w:rFonts w:cs="Times New Roman"/>
                <w:sz w:val="22"/>
                <w:szCs w:val="22"/>
              </w:rPr>
              <w:t>10⁵</w:t>
            </w:r>
            <w:r w:rsidRPr="001A2EB4">
              <w:rPr>
                <w:rFonts w:cs="Times New Roman"/>
                <w:sz w:val="22"/>
                <w:szCs w:val="22"/>
              </w:rPr>
              <w:t>]</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[v4 optimum]</w:t>
            </w:r>
          </w:p>
        </w:tc>
      </w:tr>
      <w:tr w:rsidR="0090588D" w:rsidRPr="001A2EB4" w14:paraId="1B424640" w14:textId="77777777" w:rsidTr="00E1667A">
        <w:trPr>
          <w:cantSplit/>
        </w:trPr>
        <w:tc>
          <w:tcPr>
            <w:tcW w:w="896" w:type="pct"/>
          </w:tcPr>
          <w:p w14:paraId="2DFA5586" w14:textId="77777777" w:rsidR="0090588D" w:rsidRPr="001A2EB4" w:rsidRDefault="00D5249E"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3450A910" w:rsidR="0090588D" w:rsidRPr="001A2EB4" w:rsidRDefault="00BB288D" w:rsidP="00E1667A">
            <w:pPr>
              <w:pStyle w:val="Compact"/>
              <w:spacing w:line="240" w:lineRule="auto"/>
              <w:jc w:val="left"/>
              <w:rPr>
                <w:rFonts w:cs="Times New Roman"/>
                <w:sz w:val="22"/>
                <w:szCs w:val="22"/>
              </w:rPr>
            </w:pPr>
            <m:oMathPara>
              <m:oMath>
                <m:r>
                  <w:rPr>
                    <w:rFonts w:ascii="Cambria Math" w:hAnsi="Cambria Math" w:cs="Times New Roman"/>
                    <w:sz w:val="22"/>
                    <w:szCs w:val="22"/>
                  </w:rPr>
                  <m:t>m</m:t>
                </m:r>
                <m:sSup>
                  <m:sSupPr>
                    <m:ctrlPr>
                      <w:rPr>
                        <w:rFonts w:ascii="Cambria Math" w:hAnsi="Cambria Math" w:cs="Times New Roman"/>
                        <w:sz w:val="22"/>
                        <w:szCs w:val="22"/>
                      </w:rPr>
                    </m:ctrlPr>
                  </m:sSupPr>
                  <m:e>
                    <m:r>
                      <w:rPr>
                        <w:rFonts w:ascii="Cambria Math" w:hAnsi="Cambria Math" w:cs="Times New Roman"/>
                        <w:sz w:val="22"/>
                        <w:szCs w:val="22"/>
                      </w:rPr>
                      <m:t>m</m:t>
                    </m:r>
                  </m:e>
                  <m:sup>
                    <m:r>
                      <w:rPr>
                        <w:rFonts w:ascii="Cambria Math" w:hAnsi="Cambria Math" w:cs="Times New Roman"/>
                        <w:sz w:val="22"/>
                        <w:szCs w:val="22"/>
                      </w:rPr>
                      <m:t>6</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g</m:t>
                    </m:r>
                  </m:e>
                  <m:sup>
                    <m:r>
                      <m:rPr>
                        <m:sty m:val="p"/>
                      </m:rPr>
                      <w:rPr>
                        <w:rFonts w:ascii="Cambria Math" w:hAnsi="Cambria Math" w:cs="Times New Roman"/>
                        <w:sz w:val="22"/>
                        <w:szCs w:val="22"/>
                      </w:rPr>
                      <m:t>-</m:t>
                    </m:r>
                    <m:r>
                      <w:rPr>
                        <w:rFonts w:ascii="Cambria Math" w:hAnsi="Cambria Math" w:cs="Times New Roman"/>
                        <w:sz w:val="22"/>
                        <w:szCs w:val="22"/>
                      </w:rPr>
                      <m:t>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Pr="001A2EB4">
              <w:rPr>
                <w:rFonts w:cs="Times New Roman"/>
                <w:sz w:val="22"/>
                <w:szCs w:val="22"/>
              </w:rPr>
              <w:t>8.0 × 10⁶</w:t>
            </w:r>
            <w:r w:rsidRPr="001A2EB4">
              <w:rPr>
                <w:rFonts w:cs="Times New Roman"/>
                <w:sz w:val="22"/>
                <w:szCs w:val="22"/>
              </w:rPr>
              <w:t xml:space="preserve">, </w:t>
            </w:r>
            <w:r w:rsidRPr="001A2EB4">
              <w:rPr>
                <w:rFonts w:cs="Times New Roman"/>
                <w:sz w:val="22"/>
                <w:szCs w:val="22"/>
              </w:rPr>
              <w:t>8.0 × 10¹¹</w:t>
            </w:r>
            <w:r w:rsidRPr="001A2EB4">
              <w:rPr>
                <w:rFonts w:cs="Times New Roman"/>
                <w:sz w:val="22"/>
                <w:szCs w:val="22"/>
              </w:rPr>
              <w:t>]</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[v4 optimum]</w:t>
            </w:r>
          </w:p>
        </w:tc>
      </w:tr>
      <w:tr w:rsidR="0090588D" w:rsidRPr="001A2EB4" w14:paraId="275905FD" w14:textId="77777777" w:rsidTr="00E1667A">
        <w:trPr>
          <w:cantSplit/>
        </w:trPr>
        <w:tc>
          <w:tcPr>
            <w:tcW w:w="896" w:type="pct"/>
          </w:tcPr>
          <w:p w14:paraId="588DCF5A" w14:textId="77777777" w:rsidR="0090588D" w:rsidRPr="001A2EB4" w:rsidRDefault="00D5249E"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[0.</w:t>
            </w:r>
            <w:r w:rsidRPr="001A2EB4">
              <w:rPr>
                <w:rFonts w:cs="Times New Roman"/>
                <w:sz w:val="22"/>
                <w:szCs w:val="22"/>
              </w:rPr>
              <w:t>5</w:t>
            </w:r>
            <w:r w:rsidRPr="001A2EB4">
              <w:rPr>
                <w:rFonts w:cs="Times New Roman"/>
                <w:sz w:val="22"/>
                <w:szCs w:val="22"/>
              </w:rPr>
              <w:t xml:space="preserve">, </w:t>
            </w:r>
            <w:r w:rsidRPr="001A2EB4">
              <w:rPr>
                <w:rFonts w:cs="Times New Roman"/>
                <w:sz w:val="22"/>
                <w:szCs w:val="22"/>
              </w:rPr>
              <w:t>50</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[v4 optimum]</w:t>
            </w:r>
          </w:p>
        </w:tc>
      </w:tr>
      <w:bookmarkEnd w:id="62"/>
    </w:tbl>
    <w:p w14:paraId="1D477EF3" w14:textId="77777777" w:rsidR="0090588D" w:rsidRPr="001A2EB4" w:rsidRDefault="0090588D" w:rsidP="0090588D">
      <w:pPr>
        <w:pStyle w:val="BodyText"/>
        <w:ind w:firstLine="0"/>
      </w:pPr>
    </w:p>
    <w:p w14:paraId="1B2B9C5B" w14:textId="77777777" w:rsidR="00D26518" w:rsidRPr="001A2EB4" w:rsidRDefault="00D26518" w:rsidP="00D1626D">
      <w:pPr>
        <w:pStyle w:val="BodyText"/>
        <w:rPr/>
      </w:pPr>
      <w:r w:rsidRPr="001A2EB4">
        <w:t>[Parameter sweeps (Figure 4) are to be rerun with the revised model around the new optimum; the discussion of passivation and corrosion-product saturation will be updated accordingly.]</w:t>
      </w:r>
    </w:p>
    <w:p w14:paraId="4A960038" w14:textId="33B35CA1"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w:t>
      </w:r>
      <w:r w:rsidRPr="001A2EB4">
        <w:rPr>
          <w:rFonts w:cs="Times New Roman"/>
        </w:rPr>
        <w:t xml:space="preserve">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w:t>
      </w:r>
      <w:r w:rsidRPr="001A2EB4">
        <w:rPr>
          <w:rFonts w:cs="Times New Roman"/>
        </w:rPr>
        <w:t xml:space="preserve"> </w:t>
      </w:r>
      <w:r w:rsidR="007600C0" w:rsidRPr="001A2EB4">
        <w:rPr>
          <w:rFonts w:cs="Times New Roman"/>
        </w:rPr>
        <w:t>where</w:t>
      </w:r>
      <w:r w:rsidR="007600C0" w:rsidRPr="001A2EB4">
        <w:rPr>
          <w:rFonts w:cs="Times New Roman"/>
        </w:rPr>
        <w:t xml:space="preserve">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D57D91A" w:rsidR="00F10625" w:rsidRPr="001A2EB4" w:rsidRDefault="0058436A" w:rsidP="00124B18">
      <w:pPr>
        <w:pStyle w:val="BodyText"/>
      </w:pPr>
      <w:r w:rsidRPr="0058436A">
        <w:t>The associated corrosion-product saturation 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corrosion-product growth term, resulting in faster corrosion-product accumulation and greater 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corrosion-product dissolution term, reducing corrosion-product retention and leading to lower corrosion-product saturation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however, caused only modest changes in corrosion-product saturation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because oxygen reduction influences corrosion-product 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corrosion-product formation and dissolution, making </w:t>
      </w:r>
      <w:r w:rsidR="008E5454">
        <w:t>corrosion-product</w:t>
      </w:r>
      <w:r w:rsidR="008E5454">
        <w:t xml:space="preserve"> saturation </w:t>
      </w:r>
      <w:r w:rsidR="005B7B5E" w:rsidRPr="001A2EB4">
        <w:t xml:space="preserve">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DFD46EF"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Conditions that promoted greater corrosion-product saturation,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 products 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2F52CE" w:rsidRPr="002F52CE">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where accelerated cathodic oxygen consumption reduced interfacial oxygen concentrations despite only modest changes in corrosion-product saturation.</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2F52CE" w:rsidRPr="001A2EB4">
        <w:rPr>
          <w:b/>
          <w:bCs/>
        </w:rPr>
        <w:t xml:space="preserve">Figure </w:t>
      </w:r>
      <w:r w:rsidR="002F52CE">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66900EEE" w:rsidR="000631D6" w:rsidRPr="001A2EB4" w:rsidRDefault="000631D6" w:rsidP="000631D6">
      <w:pPr>
        <w:pStyle w:val="Captions"/>
        <w:rPr>
          <w:rFonts w:cs="Times New Roman"/>
        </w:rPr>
      </w:pPr>
      <w:bookmarkStart w:id="8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4</w:t>
      </w:r>
      <w:r w:rsidRPr="001A2EB4">
        <w:rPr>
          <w:b/>
          <w:bCs/>
        </w:rPr>
        <w:fldChar w:fldCharType="end"/>
      </w:r>
      <w:bookmarkEnd w:id="87"/>
      <w:r w:rsidRPr="001A2EB4">
        <w:rPr>
          <w:b/>
          <w:bCs/>
        </w:rPr>
        <w:t>.</w:t>
      </w:r>
      <w:r w:rsidRPr="001A2EB4">
        <w:t xml:space="preserve"> Local parameter sweeps of kinetic parameters. Panels (a–c) show cumulative mass loss (%), panels (d–f) show the normalized corrosion-product saturation, F/Fₘₐₓ (%), and panels (g–</w:t>
      </w:r>
      <w:proofErr w:type="spellStart"/>
      <w:r w:rsidRPr="001A2EB4">
        <w:t>i</w:t>
      </w:r>
      <w:proofErr w:type="spellEnd"/>
      <w:r w:rsidRPr="001A2EB4">
        <w:t>)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7"/>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51983772"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Table </w:t>
      </w:r>
      <w:r w:rsidR="002F52CE">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1F250F">
        <w:rPr>
          <w:rFonts w:cs="Times New Roman"/>
        </w:rPr>
        <w:instrText xml:space="preserve"> ADDIN ZOTERO_ITEM CSL_CITATION {"citationID":"LQYpQdDy","properties":{"unsorted":false,"formattedCitation":"\\super [38,40]\\nosupersub{}","plainCitation":"[38,40]","noteIndex":0},"citationItems":[{"id":2423,"uris":["http://zotero.org/users/16939557/items/CXTYID6S"],"itemData":{"id":2423,"type":"article-journal","citation-key":"mengInitialFormationCorrosion2019","container-title":"Bioactive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1F250F" w:rsidRPr="001F250F">
        <w:rPr>
          <w:rFonts w:cs="Times New Roman"/>
          <w:vertAlign w:val="superscript"/>
        </w:rPr>
        <w:t>[38,40]</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5B74C020" w:rsidR="000631D6" w:rsidRPr="001A2EB4" w:rsidRDefault="000631D6" w:rsidP="00DB1ADB">
      <w:pPr>
        <w:pStyle w:val="Captions"/>
        <w:keepNext/>
        <w:rPr>
          <w:rFonts w:cs="Times New Roman"/>
          <w:i/>
          <w:iCs w:val="0"/>
        </w:rPr>
      </w:pPr>
      <w:bookmarkStart w:id="88" w:name="_Ref238632622"/>
      <w:bookmarkStart w:id="89"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2F52CE">
        <w:rPr>
          <w:b/>
          <w:bCs/>
          <w:noProof/>
        </w:rPr>
        <w:t>3</w:t>
      </w:r>
      <w:r w:rsidRPr="001A2EB4">
        <w:rPr>
          <w:b/>
          <w:bCs/>
        </w:rPr>
        <w:fldChar w:fldCharType="end"/>
      </w:r>
      <w:bookmarkEnd w:id="88"/>
      <w:bookmarkEnd w:id="89"/>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79C523E6" w14:textId="77777777" w:rsidR="00D26518" w:rsidRPr="001A2EB4" w:rsidRDefault="00D26518" w:rsidP="00D1626D">
      <w:pPr>
        <w:pStyle w:val="BodyText"/>
        <w:rPr/>
      </w:pPr>
      <w:r w:rsidRPr="001A2EB4">
        <w:t>[Validation results (Figure 5, RMSE and R²) are to be rerun with the revised model.]</w:t>
      </w:r>
    </w:p>
    <w:p w14:paraId="08DE8713" w14:textId="027130D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an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EED767E"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Corrosion products progressively accumulated near the Zn surface, forming a diffuse corrosion-product accumulation by 168 h and developing into a homogenized corrosion-product 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near-surface corrosion-product field developed,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corrosion-product-induced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1F250F">
        <w:instrText xml:space="preserve"> ADDIN ZOTERO_ITEM CSL_CITATION {"citationID":"Z8FXhBbL","properties":{"unsorted":false,"formattedCitation":"\\super [40]\\nosupersub{}","plainCitation":"[40]","noteIndex":0},"citationItems":[{"id":2423,"uris":["http://zotero.org/users/16939557/items/CXTYID6S"],"itemData":{"id":2423,"type":"article-journal","citation-key":"mengInitialFormationCorrosion2019","container-title":"Bioactive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1F250F" w:rsidRPr="001F250F">
        <w:rPr>
          <w:rFonts w:cs="Times New Roman"/>
          <w:vertAlign w:val="superscript"/>
        </w:rPr>
        <w:t>[40]</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ADCA70C" w:rsidR="000631D6" w:rsidRPr="001A2EB4" w:rsidRDefault="000631D6" w:rsidP="00B10D4A">
      <w:pPr>
        <w:pStyle w:val="Captions"/>
      </w:pPr>
      <w:bookmarkStart w:id="9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5</w:t>
      </w:r>
      <w:r w:rsidRPr="001A2EB4">
        <w:rPr>
          <w:b/>
          <w:bCs/>
        </w:rPr>
        <w:fldChar w:fldCharType="end"/>
      </w:r>
      <w:bookmarkEnd w:id="9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1F250F">
        <w:instrText xml:space="preserve"> ADDIN ZOTERO_ITEM CSL_CITATION {"citationID":"zWLvEZL3","properties":{"unsorted":false,"formattedCitation":"\\super [38]\\nosupersub{}","plainCitation":"[38]","noteIndex":0},"citationItems":[{"id":3943,"uris":["http://zotero.org/users/16939557/items/QAXDRACS"],"itemData":{"id":3943,"type":"article-journal","citation-key":"liuInitialFormationCorrosion2018","container-title":"Journal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1F250F" w:rsidRPr="001F250F">
        <w:rPr>
          <w:rFonts w:cs="Times New Roman"/>
          <w:szCs w:val="24"/>
          <w:vertAlign w:val="superscript"/>
        </w:rPr>
        <w:t>[38]</w:t>
      </w:r>
      <w:r w:rsidR="00B10D4A" w:rsidRPr="001A2EB4">
        <w:fldChar w:fldCharType="end"/>
      </w:r>
      <w:r w:rsidR="00B10D4A" w:rsidRPr="001A2EB4">
        <w:t>.</w:t>
      </w:r>
    </w:p>
    <w:p w14:paraId="14BF36CA" w14:textId="77777777" w:rsidR="00B10D4A" w:rsidRPr="001A2EB4" w:rsidRDefault="00B10D4A" w:rsidP="00B10D4A">
      <w:pPr>
        <w:pStyle w:val="Captions"/>
      </w:pPr>
    </w:p>
    <w:p w14:paraId="4B19C9F2" w14:textId="77777777" w:rsidR="00D26518" w:rsidRPr="001A2EB4" w:rsidRDefault="00D26518" w:rsidP="00D1626D">
      <w:pPr>
        <w:pStyle w:val="BodyText"/>
        <w:rPr/>
      </w:pPr>
      <w:r w:rsidRPr="001A2EB4">
        <w:t>[The Zn²⁺ and pH comparison will be regenerated after the OH⁻ balance is validated, or the pH comparison will be removed.]</w:t>
      </w:r>
    </w:p>
    <w:p w14:paraId="4B569DE1" w14:textId="35CC46ED"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literature 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1F250F">
        <w:rPr>
          <w:rFonts w:cs="Times New Roman"/>
        </w:rPr>
        <w:instrText xml:space="preserve"> ADDIN ZOTERO_ITEM CSL_CITATION {"citationID":"TNsDeudZ","properties":{"unsorted":false,"formattedCitation":"\\super [38]\\nosupersub{}","plainCitation":"[38]","noteIndex":0},"citationItems":[{"id":3943,"uris":["http://zotero.org/users/16939557/items/QAXDRACS"],"itemData":{"id":3943,"type":"article-journal","citation-key":"liuInitialFormationCorrosion2018","container-title":"Journal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1F250F" w:rsidRPr="001F250F">
        <w:rPr>
          <w:rFonts w:cs="Times New Roman"/>
          <w:vertAlign w:val="superscript"/>
        </w:rPr>
        <w:t>[38]</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2F52CE" w:rsidRPr="001A2EB4">
        <w:rPr>
          <w:b/>
          <w:bCs/>
        </w:rPr>
        <w:t xml:space="preserve">Figure </w:t>
      </w:r>
      <w:r w:rsidR="002F52CE">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xml:space="preserve">, the model reproduced the overall evolution of both quantities, </w:t>
      </w:r>
      <w:r w:rsidRPr="001A2EB4">
        <w:rPr>
          <w:rFonts w:cs="Times New Roman"/>
        </w:rPr>
        <w:t>capturing the rapid initial increase followed by a gradual plateau</w:t>
      </w:r>
      <w:r w:rsidRPr="001A2EB4">
        <w:rPr>
          <w:rFonts w:cs="Times New Roman"/>
        </w:rPr>
        <w:t>,</w:t>
      </w:r>
      <w:r w:rsidRPr="001A2EB4">
        <w:rPr>
          <w:rFonts w:cs="Times New Roman"/>
        </w:rPr>
        <w:t xml:space="preserve"> with errors at 336 h of 44% for Zn²⁺ and 2.8% for </w:t>
      </w:r>
      <w:proofErr w:type="spellStart"/>
      <w:r w:rsidRPr="001A2EB4">
        <w:rPr>
          <w:rFonts w:cs="Times New Roman"/>
        </w:rPr>
        <w:t>pH</w:t>
      </w:r>
      <w:r w:rsidRPr="001A2EB4">
        <w:rPr>
          <w:rFonts w:cs="Times New Roman"/>
        </w:rPr>
        <w:t>.</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78F64D88" w14:textId="77777777" w:rsidR="00D26518" w:rsidRPr="001A2EB4" w:rsidRDefault="00D26518" w:rsidP="00D1626D">
      <w:pPr>
        <w:pStyle w:val="BodyText"/>
        <w:rPr/>
      </w:pPr>
      <w:r w:rsidRPr="001A2EB4">
        <w:t>[The stent case (Figures 6 and 7) is to be rerun with the revised model.]</w:t>
      </w:r>
    </w:p>
    <w:p w14:paraId="29F253C1" w14:textId="5BF16D2D"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S8</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736366CC"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2F52CE" w:rsidRPr="001A2EB4">
        <w:rPr>
          <w:b/>
          <w:bCs/>
        </w:rPr>
        <w:t xml:space="preserve">Figure </w:t>
      </w:r>
      <w:r w:rsidR="002F52CE">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 xml:space="preserve">before transitioning to oxygen-transport-limited behavior. This delayed onset of transport limitation </w:t>
      </w:r>
      <w:r w:rsidR="00D05CA9" w:rsidRPr="00D05CA9">
        <w:t>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7CBD23EE" w:rsidR="00FE72EC" w:rsidRPr="001A2EB4" w:rsidRDefault="000631D6" w:rsidP="00FE72EC">
      <w:pPr>
        <w:pStyle w:val="Captions"/>
      </w:pPr>
      <w:bookmarkStart w:id="99"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6</w:t>
      </w:r>
      <w:r w:rsidRPr="001A2EB4">
        <w:rPr>
          <w:b/>
          <w:bCs/>
        </w:rPr>
        <w:fldChar w:fldCharType="end"/>
      </w:r>
      <w:bookmarkEnd w:id="99"/>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4297CA8E"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2F52CE" w:rsidRPr="001A2EB4">
        <w:rPr>
          <w:b/>
          <w:bCs/>
        </w:rPr>
        <w:t xml:space="preserve">Figure </w:t>
      </w:r>
      <w:r w:rsidR="002F52CE">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2F52CE" w:rsidRPr="001A2EB4">
        <w:rPr>
          <w:b/>
          <w:bCs/>
        </w:rPr>
        <w:t xml:space="preserve">Figure </w:t>
      </w:r>
      <w:r w:rsidR="002F52CE">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153F382A"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 xml:space="preserve">Section 2 intersected the crown apex, where the inner and outer curvatures experienced </w:t>
      </w:r>
      <w:r w:rsidRPr="001A2EB4">
        <w:t>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2F52CE" w:rsidRPr="001A2EB4">
        <w:rPr>
          <w:b/>
          <w:bCs/>
        </w:rPr>
        <w:t xml:space="preserve">Figure </w:t>
      </w:r>
      <w:r w:rsidR="002F52CE">
        <w:rPr>
          <w:b/>
          <w:bCs/>
        </w:rPr>
        <w:t>7</w:t>
      </w:r>
      <w:r w:rsidRPr="001A2EB4">
        <w:rPr>
          <w:b/>
          <w:bCs/>
        </w:rPr>
        <w:fldChar w:fldCharType="end"/>
      </w:r>
      <w:r w:rsidRPr="001A2EB4">
        <w:rPr>
          <w:b/>
          <w:bCs/>
        </w:rPr>
        <w:t>d</w:t>
      </w:r>
      <w:r w:rsidRPr="001A2EB4">
        <w:t>). This asymmetric recession shows that the nominal corrosion rate alone cannot predict local 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100"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7C3191CC" w:rsidR="000631D6" w:rsidRPr="001A2EB4" w:rsidRDefault="000631D6" w:rsidP="000631D6">
      <w:pPr>
        <w:pStyle w:val="Captions"/>
      </w:pPr>
      <w:bookmarkStart w:id="101"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7</w:t>
      </w:r>
      <w:r w:rsidRPr="001A2EB4">
        <w:rPr>
          <w:b/>
          <w:bCs/>
        </w:rPr>
        <w:fldChar w:fldCharType="end"/>
      </w:r>
      <w:bookmarkEnd w:id="101"/>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7B1A7866"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2F52CE" w:rsidRPr="001A2EB4">
        <w:rPr>
          <w:b/>
          <w:bCs/>
        </w:rPr>
        <w:t xml:space="preserve">Figure </w:t>
      </w:r>
      <w:r w:rsidR="002F52CE">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2F52CE" w:rsidRPr="001A2EB4">
        <w:rPr>
          <w:b/>
          <w:bCs/>
        </w:rPr>
        <w:t xml:space="preserve">Figure </w:t>
      </w:r>
      <w:r w:rsidR="002F52CE">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w:t>
      </w:r>
      <w:r w:rsidR="00BC50F3" w:rsidRPr="001A2EB4">
        <w:t>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364012E6"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 xml:space="preserve">penetration depths varied only slightly, ranging from approximately 2.4 to 2.7 µm across the curved-wire configurations (30°, 90°, and 150° arcs) and from 2.1 to 2.4 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764197DA" w:rsidR="00BC50F3" w:rsidRPr="001A2EB4" w:rsidRDefault="00BC50F3" w:rsidP="00BC50F3">
      <w:pPr>
        <w:pStyle w:val="Captions"/>
      </w:pPr>
      <w:bookmarkStart w:id="102"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8</w:t>
      </w:r>
      <w:r w:rsidRPr="001A2EB4">
        <w:rPr>
          <w:b/>
          <w:bCs/>
        </w:rPr>
        <w:fldChar w:fldCharType="end"/>
      </w:r>
      <w:bookmarkEnd w:id="102"/>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 (error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1EE5DA6E"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treated as a homogenized </w:t>
      </w:r>
      <w:proofErr w:type="spellStart"/>
      <w:r w:rsidR="005757F6">
        <w:t>ZnO</w:t>
      </w:r>
      <w:proofErr w:type="spellEnd"/>
      <w:r w:rsidR="005757F6">
        <w:t>-based field rather than a discrete surface film or a heterogeneous, composition-dependent structure, and phosphate-, carbonate-, calcium-, and chloride-containing phases</w:t>
      </w:r>
      <w:r w:rsidR="005757F6">
        <w:t>,</w:t>
      </w:r>
      <w:r w:rsidR="005757F6">
        <w:t xml:space="preserve"> which can form within days in vitro, are not explicitly resolved</w:t>
      </w:r>
      <w:r w:rsidR="00492114">
        <w:t xml:space="preserve">.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xml:space="preserve">​ should be regarded as an effective parameter that partially incorporates uncertainty in oxygen availability</w:t>
      </w:r>
      <w:r w:rsidR="00492114" w:rsidRPr="00492114">
        <w:t xml:space="preserve">. Continuous oxygen replenishment at the electrolyte–air interface may not reflect the 48 h medium renewal used in the experiments, so the calibrated kORR is conditional on the assumed oxygen history</w:t>
      </w:r>
      <w:r w:rsidR="00492114" w:rsidRPr="00492114">
        <w:t xml:space="preserve">.</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w:t>
      </w:r>
      <w:r w:rsidR="005757F6" w:rsidRPr="005757F6">
        <w:t xml:space="preserve">Moreover, </w:t>
      </w:r>
      <w:r w:rsidR="005757F6">
        <w:t xml:space="preserve">the 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Independent measurements of Zn²⁺ release by ICP and direct mechanism tests, such as film thickness from FIB or SEM cross-sections or stirred and different-O₂ experiments, were not performed and </w:t>
      </w:r>
      <w:r w:rsidR="008B5621">
        <w:t>can be used for further validation</w:t>
      </w:r>
      <w:r w:rsidR="005757F6" w:rsidRPr="005757F6">
        <w:t xml:space="preserve">.</w:t>
      </w:r>
      <w:r w:rsidR="005757F6" w:rsidRPr="005757F6">
        <w:t xml:space="preserve"> The computational electrolyte domain (30 × 30 × 30 mm, corresponding to 27 mL) is smaller than the experimental immersion volume (44 mL), which may introduce deviations in the predicted oxygen concentration field because of the reduced oxygen reservoir available in the simulation.</w:t>
      </w:r>
    </w:p>
    <w:p w14:paraId="3414BFB8" w14:textId="66383F0B" w:rsidR="002E4C03" w:rsidRDefault="005757F6" w:rsidP="005757F6">
      <w:pPr>
        <w:pStyle w:val="BodyText"/>
      </w:pPr>
      <w:r w:rsidRPr="005757F6">
        <w:t>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high-fidelity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258DCCBE"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1F250F">
        <w:instrText xml:space="preserve"> ADDIN ZOTERO_ITEM CSL_CITATION {"citationID":"Zd9tPSIo","properties":{"unsorted":false,"formattedCitation":"\\super [41,42]\\nosupersub{}","plainCitation":"[41,42]","noteIndex":0},"citationItems":[{"id":5765,"uris":["http://zotero.org/users/16939557/items/FPYDBSXS"],"itemData":{"id":5765,"type":"article-journal","citation-key":"liOptimizingStructuralDesign2022","container-title":"Materials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1F250F" w:rsidRPr="001F250F">
        <w:rPr>
          <w:rFonts w:cs="Times New Roman"/>
          <w:vertAlign w:val="superscript"/>
        </w:rPr>
        <w:t>[41,42]</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rPr/>
      </w:pPr>
    </w:p>
    <w:p w14:paraId="6233A8DD" w14:textId="77777777" w:rsidR="00527833" w:rsidRDefault="00527833" w:rsidP="00711ECD">
      <w:pPr>
        <w:pStyle w:val="BodyText"/>
        <w:ind w:firstLine="0"/>
        <w:rPr/>
      </w:pPr>
    </w:p>
    <w:p w14:paraId="1A4D172F" w14:textId="77777777" w:rsidR="00527833" w:rsidRPr="001A2EB4" w:rsidRDefault="00527833" w:rsidP="00711ECD">
      <w:pPr>
        <w:pStyle w:val="BodyText"/>
        <w:ind w:firstLine="0"/>
        <w:rPr/>
      </w:pPr>
    </w:p>
    <w:bookmarkEnd w:id="100"/>
    <w:p w14:paraId="516B3B1A" w14:textId="77777777" w:rsidR="000631D6" w:rsidRPr="001A2EB4" w:rsidRDefault="000631D6" w:rsidP="000631D6">
      <w:pPr>
        <w:pStyle w:val="Heading1"/>
      </w:pPr>
      <w:r w:rsidRPr="001A2EB4">
        <w:t>Conclusions</w:t>
      </w:r>
    </w:p>
    <w:p w14:paraId="0E48EE87" w14:textId="74CBE849" w:rsidR="00C5098B" w:rsidRDefault="005B5344" w:rsidP="0063546E">
      <w:pPr>
        <w:pStyle w:val="BodyText"/>
      </w:pPr>
      <w:bookmarkStart w:id="10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of the same order of magnitude as 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w:t>
      </w:r>
      <w:r w:rsidRPr="005B5344">
        <w:t>which could enable</w:t>
      </w:r>
      <w:r w:rsidRPr="005B5344">
        <w:t xml:space="preserve"> structural performance to be considered throughout the implant lifetime rather than only at implantation.</w:t>
      </w:r>
      <w:bookmarkEnd w:id="10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6617486F" w:rsidR="006E76EC" w:rsidRDefault="006E76EC" w:rsidP="006E76EC">
      <w:pPr>
        <w:pStyle w:val="MainText"/>
        <w:spacing w:before="240" w:after="240" w:line="240" w:lineRule="auto"/>
        <w:rPr>
          <w:b/>
          <w:bCs/>
        </w:rPr>
      </w:pPr>
    </w:p>
    <w:p w14:paraId="2642BB51" w14:textId="6918E8F7" w:rsidR="00683888" w:rsidRDefault="00683888" w:rsidP="006E76EC">
      <w:pPr>
        <w:pStyle w:val="MainText"/>
        <w:spacing w:before="240" w:after="240" w:line="240" w:lineRule="auto"/>
        <w:rPr>
          <w:b/>
          <w:bCs/>
        </w:rPr>
      </w:pPr>
    </w:p>
    <w:p w14:paraId="7BAE4410" w14:textId="67760F13" w:rsidR="00683888" w:rsidRDefault="00683888" w:rsidP="006E76EC">
      <w:pPr>
        <w:pStyle w:val="MainText"/>
        <w:spacing w:before="240" w:after="240" w:line="240" w:lineRule="auto"/>
        <w:rPr>
          <w:b/>
          <w:bCs/>
        </w:rPr>
      </w:pPr>
    </w:p>
    <w:p w14:paraId="372D3015" w14:textId="77777777" w:rsidR="00683888" w:rsidRPr="001A2EB4" w:rsidRDefault="00683888"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30775A96" w14:textId="77777777" w:rsidR="001F250F" w:rsidRPr="001F250F" w:rsidRDefault="00001F27" w:rsidP="001F250F">
      <w:pPr>
        <w:pStyle w:val="Bibliography"/>
      </w:pPr>
      <w:r w:rsidRPr="001A2EB4">
        <w:fldChar w:fldCharType="begin"/>
      </w:r>
      <w:r w:rsidR="00F60B2A">
        <w:instrText xml:space="preserve"> ADDIN ZOTERO_BIBL {"uncited":[],"omitted":[],"custom":[]} CSL_BIBLIOGRAPHY </w:instrText>
      </w:r>
      <w:r w:rsidRPr="001A2EB4">
        <w:fldChar w:fldCharType="separate"/>
      </w:r>
      <w:r w:rsidR="001F250F" w:rsidRPr="001F250F">
        <w:t xml:space="preserve">1. Y. F. Zheng, X. N. Gu, and F. Witte, “Biodegradable Metals,” </w:t>
      </w:r>
      <w:r w:rsidR="001F250F" w:rsidRPr="001F250F">
        <w:rPr>
          <w:i/>
          <w:iCs/>
        </w:rPr>
        <w:t>Materials Science and Engineering: R: Reports</w:t>
      </w:r>
      <w:r w:rsidR="001F250F" w:rsidRPr="001F250F">
        <w:t xml:space="preserve"> </w:t>
      </w:r>
      <w:r w:rsidR="001F250F" w:rsidRPr="001F250F">
        <w:rPr>
          <w:i/>
          <w:iCs/>
        </w:rPr>
        <w:t>77</w:t>
      </w:r>
      <w:r w:rsidR="001F250F" w:rsidRPr="001F250F">
        <w:t xml:space="preserve"> (2014): 1–34, https://doi.org/10.1016/j.mser.2014.01.001.</w:t>
      </w:r>
    </w:p>
    <w:p w14:paraId="6DDAEF2D" w14:textId="77777777" w:rsidR="001F250F" w:rsidRPr="001F250F" w:rsidRDefault="001F250F" w:rsidP="001F250F">
      <w:pPr>
        <w:pStyle w:val="Bibliography"/>
      </w:pPr>
      <w:r w:rsidRPr="001F250F">
        <w:t xml:space="preserve">2. L. Fan, S. Chen, M. Yang, Y. Liu, and J. Liu, “Metallic Materials for Bone Repair,” </w:t>
      </w:r>
      <w:r w:rsidRPr="001F250F">
        <w:rPr>
          <w:i/>
          <w:iCs/>
        </w:rPr>
        <w:t>Advanced Healthcare Materials</w:t>
      </w:r>
      <w:r w:rsidRPr="001F250F">
        <w:t xml:space="preserve"> </w:t>
      </w:r>
      <w:r w:rsidRPr="001F250F">
        <w:rPr>
          <w:i/>
          <w:iCs/>
        </w:rPr>
        <w:t>13</w:t>
      </w:r>
      <w:r w:rsidRPr="001F250F">
        <w:t>, no. 3 (2024): 2302132, https://doi.org/10.1002/adhm.202302132.</w:t>
      </w:r>
    </w:p>
    <w:p w14:paraId="03168484" w14:textId="77777777" w:rsidR="001F250F" w:rsidRPr="001F250F" w:rsidRDefault="001F250F" w:rsidP="001F250F">
      <w:pPr>
        <w:pStyle w:val="Bibliography"/>
      </w:pPr>
      <w:r w:rsidRPr="001F250F">
        <w:t xml:space="preserve">3. H.-S. Han, S. Loffredo, I. Jun, et al., “Current Status and Outlook on the Clinical Translation of Biodegradable Metals,” </w:t>
      </w:r>
      <w:r w:rsidRPr="001F250F">
        <w:rPr>
          <w:i/>
          <w:iCs/>
        </w:rPr>
        <w:t>Materials Today</w:t>
      </w:r>
      <w:r w:rsidRPr="001F250F">
        <w:t xml:space="preserve"> </w:t>
      </w:r>
      <w:r w:rsidRPr="001F250F">
        <w:rPr>
          <w:i/>
          <w:iCs/>
        </w:rPr>
        <w:t>23</w:t>
      </w:r>
      <w:r w:rsidRPr="001F250F">
        <w:t xml:space="preserve"> (2019): 57–71, https://doi.org/10.1016/j.mattod.2018.05.018.</w:t>
      </w:r>
    </w:p>
    <w:p w14:paraId="11E6767A" w14:textId="77777777" w:rsidR="001F250F" w:rsidRPr="001F250F" w:rsidRDefault="001F250F" w:rsidP="001F250F">
      <w:pPr>
        <w:pStyle w:val="Bibliography"/>
      </w:pPr>
      <w:r w:rsidRPr="001F250F">
        <w:t xml:space="preserve">4. P. K. Bowen, E. R. Shearier, S. Zhao, et al., “Biodegradable Metals for Cardiovascular Stents: From Clinical Concerns to Recent Zn‐Alloys,” </w:t>
      </w:r>
      <w:r w:rsidRPr="001F250F">
        <w:rPr>
          <w:i/>
          <w:iCs/>
        </w:rPr>
        <w:t>Advanced Healthcare Materials</w:t>
      </w:r>
      <w:r w:rsidRPr="001F250F">
        <w:t xml:space="preserve"> </w:t>
      </w:r>
      <w:r w:rsidRPr="001F250F">
        <w:rPr>
          <w:i/>
          <w:iCs/>
        </w:rPr>
        <w:t>5</w:t>
      </w:r>
      <w:r w:rsidRPr="001F250F">
        <w:t>, no. 10 (2016): 1121–1140, https://doi.org/10.1002/adhm.201501019.</w:t>
      </w:r>
    </w:p>
    <w:p w14:paraId="515BD47A" w14:textId="77777777" w:rsidR="001F250F" w:rsidRPr="001F250F" w:rsidRDefault="001F250F" w:rsidP="001F250F">
      <w:pPr>
        <w:pStyle w:val="Bibliography"/>
      </w:pPr>
      <w:r w:rsidRPr="001F250F">
        <w:t xml:space="preserve">5. A. Atrens, G. Song, M. Liu, Z. Shi, F. Cao, and M. S. Dargusch, “Review of Recent Developments in the Field of Magnesium Corrosion,” </w:t>
      </w:r>
      <w:r w:rsidRPr="001F250F">
        <w:rPr>
          <w:i/>
          <w:iCs/>
        </w:rPr>
        <w:t>Advanced Engineering Materials</w:t>
      </w:r>
      <w:r w:rsidRPr="001F250F">
        <w:t xml:space="preserve"> </w:t>
      </w:r>
      <w:r w:rsidRPr="001F250F">
        <w:rPr>
          <w:i/>
          <w:iCs/>
        </w:rPr>
        <w:t>17</w:t>
      </w:r>
      <w:r w:rsidRPr="001F250F">
        <w:t>, no. 4 (2015): 400–453, https://doi.org/10.1002/adem.201400434.</w:t>
      </w:r>
    </w:p>
    <w:p w14:paraId="4AF338F7" w14:textId="77777777" w:rsidR="001F250F" w:rsidRPr="001F250F" w:rsidRDefault="001F250F" w:rsidP="001F250F">
      <w:pPr>
        <w:pStyle w:val="Bibliography"/>
      </w:pPr>
      <w:r w:rsidRPr="001F250F">
        <w:t xml:space="preserve">6. G. Katarivas Levy, J. Goldman, and E. Aghion, “The Prospects of Zinc as a Structural Material for Biodegradable Implants—A Review Paper,” </w:t>
      </w:r>
      <w:r w:rsidRPr="001F250F">
        <w:rPr>
          <w:i/>
          <w:iCs/>
        </w:rPr>
        <w:t>Metals</w:t>
      </w:r>
      <w:r w:rsidRPr="001F250F">
        <w:t xml:space="preserve"> </w:t>
      </w:r>
      <w:r w:rsidRPr="001F250F">
        <w:rPr>
          <w:i/>
          <w:iCs/>
        </w:rPr>
        <w:t>7</w:t>
      </w:r>
      <w:r w:rsidRPr="001F250F">
        <w:t>, no. 10 (2017): 402, https://doi.org/10.3390/met7100402.</w:t>
      </w:r>
    </w:p>
    <w:p w14:paraId="6FDD441A" w14:textId="77777777" w:rsidR="001F250F" w:rsidRPr="001F250F" w:rsidRDefault="001F250F" w:rsidP="001F250F">
      <w:pPr>
        <w:pStyle w:val="Bibliography"/>
      </w:pPr>
      <w:r w:rsidRPr="001F250F">
        <w:t xml:space="preserve">7. D. Vojtěch, J. Kubásek, J. Šerák, and P. Novák, “Mechanical and Corrosion Properties of Newly Developed Biodegradable Zn-Based Alloys for Bone Fixation,” </w:t>
      </w:r>
      <w:r w:rsidRPr="001F250F">
        <w:rPr>
          <w:i/>
          <w:iCs/>
        </w:rPr>
        <w:t>Acta Biomaterialia</w:t>
      </w:r>
      <w:r w:rsidRPr="001F250F">
        <w:t xml:space="preserve"> </w:t>
      </w:r>
      <w:r w:rsidRPr="001F250F">
        <w:rPr>
          <w:i/>
          <w:iCs/>
        </w:rPr>
        <w:t>7</w:t>
      </w:r>
      <w:r w:rsidRPr="001F250F">
        <w:t>, no. 9 (2011): 3515–3522, https://doi.org/10.1016/j.actbio.2011.05.008.</w:t>
      </w:r>
    </w:p>
    <w:p w14:paraId="168A9AA0" w14:textId="77777777" w:rsidR="001F250F" w:rsidRPr="001F250F" w:rsidRDefault="001F250F" w:rsidP="001F250F">
      <w:pPr>
        <w:pStyle w:val="Bibliography"/>
      </w:pPr>
      <w:r w:rsidRPr="001F250F">
        <w:t xml:space="preserve">8. J. Rao, H. Gao, J. Sun, R. Yu, D. Zhao, and Y. Ding, “A Critical Review of Biodegradable Zinc Alloys toward Clinical Applications,” </w:t>
      </w:r>
      <w:r w:rsidRPr="001F250F">
        <w:rPr>
          <w:i/>
          <w:iCs/>
        </w:rPr>
        <w:t>ACS Biomaterials Science &amp; Engineering</w:t>
      </w:r>
      <w:r w:rsidRPr="001F250F">
        <w:t xml:space="preserve"> </w:t>
      </w:r>
      <w:r w:rsidRPr="001F250F">
        <w:rPr>
          <w:i/>
          <w:iCs/>
        </w:rPr>
        <w:t>10</w:t>
      </w:r>
      <w:r w:rsidRPr="001F250F">
        <w:t>, no. 9 (2024): 5454–5473, https://doi.org/10.1021/acsbiomaterials.4c00210.</w:t>
      </w:r>
    </w:p>
    <w:p w14:paraId="5E5AA54B" w14:textId="77777777" w:rsidR="001F250F" w:rsidRPr="001F250F" w:rsidRDefault="001F250F" w:rsidP="001F250F">
      <w:pPr>
        <w:pStyle w:val="Bibliography"/>
      </w:pPr>
      <w:r w:rsidRPr="001F250F">
        <w:t xml:space="preserve">9. P. Zhao, Z. Wang, H. Yang, et al., “Biodegradable Zn‐Based Implants: Progress, Challenges, and Pathways toward Clinical Translation,” </w:t>
      </w:r>
      <w:r w:rsidRPr="001F250F">
        <w:rPr>
          <w:i/>
          <w:iCs/>
        </w:rPr>
        <w:t>Advanced Science</w:t>
      </w:r>
      <w:r w:rsidRPr="001F250F">
        <w:t xml:space="preserve"> </w:t>
      </w:r>
      <w:r w:rsidRPr="001F250F">
        <w:rPr>
          <w:i/>
          <w:iCs/>
        </w:rPr>
        <w:t>13</w:t>
      </w:r>
      <w:r w:rsidRPr="001F250F">
        <w:t>, no. 39 (2026): e76066, https://doi.org/10.1002/advs.76066.</w:t>
      </w:r>
    </w:p>
    <w:p w14:paraId="56841ECA" w14:textId="77777777" w:rsidR="001F250F" w:rsidRPr="001F250F" w:rsidRDefault="001F250F" w:rsidP="001F250F">
      <w:pPr>
        <w:pStyle w:val="Bibliography"/>
      </w:pPr>
      <w:r w:rsidRPr="001F250F">
        <w:t xml:space="preserve">10. H. Yang, C. Wang, C. Liu, et al., “Evolution of the Degradation Mechanism of Pure Zinc Stent in the One-Year Study of Rabbit Abdominal Aorta Model,” </w:t>
      </w:r>
      <w:r w:rsidRPr="001F250F">
        <w:rPr>
          <w:i/>
          <w:iCs/>
        </w:rPr>
        <w:t>Biomaterials</w:t>
      </w:r>
      <w:r w:rsidRPr="001F250F">
        <w:t xml:space="preserve"> </w:t>
      </w:r>
      <w:r w:rsidRPr="001F250F">
        <w:rPr>
          <w:i/>
          <w:iCs/>
        </w:rPr>
        <w:t>145</w:t>
      </w:r>
      <w:r w:rsidRPr="001F250F">
        <w:t xml:space="preserve"> (2017): 92–105, https://doi.org/10.1016/j.biomaterials.2017.08.022.</w:t>
      </w:r>
    </w:p>
    <w:p w14:paraId="259DFE7B" w14:textId="77777777" w:rsidR="001F250F" w:rsidRPr="001F250F" w:rsidRDefault="001F250F" w:rsidP="001F250F">
      <w:pPr>
        <w:pStyle w:val="Bibliography"/>
      </w:pPr>
      <w:r w:rsidRPr="001F250F">
        <w:t xml:space="preserve">11. H. Zhang, T. Du, S. Chen, et al., “Finite Element Analysis of the Non-Uniform Degradation of Biodegradable Vascular Stents,” </w:t>
      </w:r>
      <w:r w:rsidRPr="001F250F">
        <w:rPr>
          <w:i/>
          <w:iCs/>
        </w:rPr>
        <w:t>Journal of Functional Biomaterials</w:t>
      </w:r>
      <w:r w:rsidRPr="001F250F">
        <w:t xml:space="preserve"> </w:t>
      </w:r>
      <w:r w:rsidRPr="001F250F">
        <w:rPr>
          <w:i/>
          <w:iCs/>
        </w:rPr>
        <w:t>13</w:t>
      </w:r>
      <w:r w:rsidRPr="001F250F">
        <w:t>, no. 3 (2022): 152, https://doi.org/10.3390/jfb13030152.</w:t>
      </w:r>
    </w:p>
    <w:p w14:paraId="39387905" w14:textId="77777777" w:rsidR="001F250F" w:rsidRPr="001F250F" w:rsidRDefault="001F250F" w:rsidP="001F250F">
      <w:pPr>
        <w:pStyle w:val="Bibliography"/>
      </w:pPr>
      <w:r w:rsidRPr="001F250F">
        <w:t xml:space="preserve">12. X. Wang, A. Liu, Z. Zhang, et al., “Additively Manufactured Zn‐2Mg Alloy Porous Scaffolds with Customizable Biodegradable Performance and Enhanced Osteogenic Ability,” </w:t>
      </w:r>
      <w:r w:rsidRPr="001F250F">
        <w:rPr>
          <w:i/>
          <w:iCs/>
        </w:rPr>
        <w:t>Advanced Science</w:t>
      </w:r>
      <w:r w:rsidRPr="001F250F">
        <w:t xml:space="preserve"> </w:t>
      </w:r>
      <w:r w:rsidRPr="001F250F">
        <w:rPr>
          <w:i/>
          <w:iCs/>
        </w:rPr>
        <w:t>11</w:t>
      </w:r>
      <w:r w:rsidRPr="001F250F">
        <w:t>, no. 5 (2024): 2307329, https://doi.org/10.1002/advs.202307329.</w:t>
      </w:r>
    </w:p>
    <w:p w14:paraId="46878178" w14:textId="77777777" w:rsidR="001F250F" w:rsidRPr="001F250F" w:rsidRDefault="001F250F" w:rsidP="001F250F">
      <w:pPr>
        <w:pStyle w:val="Bibliography"/>
      </w:pPr>
      <w:r w:rsidRPr="001F250F">
        <w:t xml:space="preserve">13. Y. Shi, W. Xu, H. Che, et al., “The Effect of Topological Design on the Degradation Behavior of Additively Manufactured Porous Zinc Alloy,” </w:t>
      </w:r>
      <w:r w:rsidRPr="001F250F">
        <w:rPr>
          <w:i/>
          <w:iCs/>
        </w:rPr>
        <w:t>npj Materials Degradation</w:t>
      </w:r>
      <w:r w:rsidRPr="001F250F">
        <w:t xml:space="preserve"> </w:t>
      </w:r>
      <w:r w:rsidRPr="001F250F">
        <w:rPr>
          <w:i/>
          <w:iCs/>
        </w:rPr>
        <w:t>8</w:t>
      </w:r>
      <w:r w:rsidRPr="001F250F">
        <w:t>, no. 1 (2024): 42, https://doi.org/10.1038/s41529-024-00451-z.</w:t>
      </w:r>
    </w:p>
    <w:p w14:paraId="577EAB77" w14:textId="77777777" w:rsidR="001F250F" w:rsidRPr="001F250F" w:rsidRDefault="001F250F" w:rsidP="001F250F">
      <w:pPr>
        <w:pStyle w:val="Bibliography"/>
      </w:pPr>
      <w:r w:rsidRPr="001F250F">
        <w:t xml:space="preserve">14. T. Albaraghtheh, R. Willumeit-Römer, and B. Zeller-Plumhoff, “In Silico Studies of Magnesium-Based Implants: A Review of the Current Stage and Challenges,” </w:t>
      </w:r>
      <w:r w:rsidRPr="001F250F">
        <w:rPr>
          <w:i/>
          <w:iCs/>
        </w:rPr>
        <w:t>Journal of Magnesium and Alloys</w:t>
      </w:r>
      <w:r w:rsidRPr="001F250F">
        <w:t xml:space="preserve"> </w:t>
      </w:r>
      <w:r w:rsidRPr="001F250F">
        <w:rPr>
          <w:i/>
          <w:iCs/>
        </w:rPr>
        <w:t>10</w:t>
      </w:r>
      <w:r w:rsidRPr="001F250F">
        <w:t>, no. 11 (2022): 2968–2996, https://doi.org/10.1016/j.jma.2022.09.029.</w:t>
      </w:r>
    </w:p>
    <w:p w14:paraId="3184CA06" w14:textId="77777777" w:rsidR="001F250F" w:rsidRPr="001F250F" w:rsidRDefault="001F250F" w:rsidP="001F250F">
      <w:pPr>
        <w:pStyle w:val="Bibliography"/>
      </w:pPr>
      <w:r w:rsidRPr="001F250F">
        <w:t xml:space="preserve">15. E. L. Boland, C. J. Shine, N. Kelly, C. A. Sweeney, and P. E. McHugh, “A Review of Material Degradation Modelling for the Analysis and Design of Bioabsorbable Stents,” </w:t>
      </w:r>
      <w:r w:rsidRPr="001F250F">
        <w:rPr>
          <w:i/>
          <w:iCs/>
        </w:rPr>
        <w:t>Annals of Biomedical Engineering</w:t>
      </w:r>
      <w:r w:rsidRPr="001F250F">
        <w:t xml:space="preserve"> </w:t>
      </w:r>
      <w:r w:rsidRPr="001F250F">
        <w:rPr>
          <w:i/>
          <w:iCs/>
        </w:rPr>
        <w:t>44</w:t>
      </w:r>
      <w:r w:rsidRPr="001F250F">
        <w:t>, no. 2 (2016): 341–356, https://doi.org/10.1007/s10439-015-1413-5.</w:t>
      </w:r>
    </w:p>
    <w:p w14:paraId="4E472132" w14:textId="77777777" w:rsidR="001F250F" w:rsidRPr="001F250F" w:rsidRDefault="001F250F" w:rsidP="001F250F">
      <w:pPr>
        <w:pStyle w:val="Bibliography"/>
      </w:pPr>
      <w:r w:rsidRPr="001F250F">
        <w:t xml:space="preserve">16. D. Gastaldi, V. Sassi, L. Petrini, M. Vedani, S. Trasatti, and F. Migliavacca, “Continuum Damage Model for Bioresorbable Magnesium Alloy Devices — Application to Coronary </w:t>
      </w:r>
      <w:r w:rsidRPr="001F250F">
        <w:t xml:space="preserve">Stents,” </w:t>
      </w:r>
      <w:r w:rsidRPr="001F250F">
        <w:rPr>
          <w:i/>
          <w:iCs/>
        </w:rPr>
        <w:t>Journal of the Mechanical Behavior of Biomedical Materials</w:t>
      </w:r>
      <w:r w:rsidRPr="001F250F">
        <w:t xml:space="preserve"> </w:t>
      </w:r>
      <w:r w:rsidRPr="001F250F">
        <w:rPr>
          <w:i/>
          <w:iCs/>
        </w:rPr>
        <w:t>4</w:t>
      </w:r>
      <w:r w:rsidRPr="001F250F">
        <w:t>, no. 3 (2011): 352–365, https://doi.org/10.1016/j.jmbbm.2010.11.003.</w:t>
      </w:r>
    </w:p>
    <w:p w14:paraId="19D14CEA" w14:textId="77777777" w:rsidR="001F250F" w:rsidRPr="001F250F" w:rsidRDefault="001F250F" w:rsidP="001F250F">
      <w:pPr>
        <w:pStyle w:val="Bibliography"/>
      </w:pPr>
      <w:r w:rsidRPr="001F250F">
        <w:t xml:space="preserve">17. J. A. Grogan, B. J. O’Brien, S. B. Leen, and P. E. McHugh, “A Corrosion Model for Bioabsorbable Metallic Stents,” </w:t>
      </w:r>
      <w:r w:rsidRPr="001F250F">
        <w:rPr>
          <w:i/>
          <w:iCs/>
        </w:rPr>
        <w:t>Acta Biomaterialia</w:t>
      </w:r>
      <w:r w:rsidRPr="001F250F">
        <w:t xml:space="preserve"> </w:t>
      </w:r>
      <w:r w:rsidRPr="001F250F">
        <w:rPr>
          <w:i/>
          <w:iCs/>
        </w:rPr>
        <w:t>7</w:t>
      </w:r>
      <w:r w:rsidRPr="001F250F">
        <w:t>, no. 9 (2011): 3523–3533, https://doi.org/10.1016/j.actbio.2011.05.032.</w:t>
      </w:r>
    </w:p>
    <w:p w14:paraId="0D806701" w14:textId="77777777" w:rsidR="001F250F" w:rsidRPr="001F250F" w:rsidRDefault="001F250F" w:rsidP="001F250F">
      <w:pPr>
        <w:pStyle w:val="Bibliography"/>
      </w:pPr>
      <w:r w:rsidRPr="001F250F">
        <w:t xml:space="preserve">18. M. Barzegari, D. Mei, S. V. Lamaka, and L. Geris, “Computational Modeling of Degradation Process of Biodegradable Magnesium Biomaterials,” </w:t>
      </w:r>
      <w:r w:rsidRPr="001F250F">
        <w:rPr>
          <w:i/>
          <w:iCs/>
        </w:rPr>
        <w:t>Corrosion Science</w:t>
      </w:r>
      <w:r w:rsidRPr="001F250F">
        <w:t xml:space="preserve"> </w:t>
      </w:r>
      <w:r w:rsidRPr="001F250F">
        <w:rPr>
          <w:i/>
          <w:iCs/>
        </w:rPr>
        <w:t>190</w:t>
      </w:r>
      <w:r w:rsidRPr="001F250F">
        <w:t xml:space="preserve"> (2021): 109674, https://doi.org/10.1016/j.corsci.2021.109674.</w:t>
      </w:r>
    </w:p>
    <w:p w14:paraId="11FC5B78" w14:textId="77777777" w:rsidR="001F250F" w:rsidRPr="001F250F" w:rsidRDefault="001F250F" w:rsidP="001F250F">
      <w:pPr>
        <w:pStyle w:val="Bibliography"/>
      </w:pPr>
      <w:r w:rsidRPr="001F250F">
        <w:t xml:space="preserve">19. P. Bajger, J. M. A. Ashbourn, V. Manhas, Y. Guyot, K. Lietaert, and L. Geris, “Mathematical Modelling of the Degradation Behaviour of Biodegradable Metals,” </w:t>
      </w:r>
      <w:r w:rsidRPr="001F250F">
        <w:rPr>
          <w:i/>
          <w:iCs/>
        </w:rPr>
        <w:t>Biomechanics and Modeling in Mechanobiology</w:t>
      </w:r>
      <w:r w:rsidRPr="001F250F">
        <w:t xml:space="preserve"> </w:t>
      </w:r>
      <w:r w:rsidRPr="001F250F">
        <w:rPr>
          <w:i/>
          <w:iCs/>
        </w:rPr>
        <w:t>16</w:t>
      </w:r>
      <w:r w:rsidRPr="001F250F">
        <w:t>, no. 1 (2017): 227–238, https://doi.org/10.1007/s10237-016-0812-3.</w:t>
      </w:r>
    </w:p>
    <w:p w14:paraId="194DD6B9" w14:textId="77777777" w:rsidR="001F250F" w:rsidRPr="001F250F" w:rsidRDefault="001F250F" w:rsidP="001F250F">
      <w:pPr>
        <w:pStyle w:val="Bibliography"/>
      </w:pPr>
      <w:r w:rsidRPr="001F250F">
        <w:t xml:space="preserve">20. S. Thomas, N. V. Medhekar, G. S. Frankel, and N. Birbilis, “Corrosion Mechanism and Hydrogen Evolution on Mg,” </w:t>
      </w:r>
      <w:r w:rsidRPr="001F250F">
        <w:rPr>
          <w:i/>
          <w:iCs/>
        </w:rPr>
        <w:t>Current Opinion in Solid State and Materials Science</w:t>
      </w:r>
      <w:r w:rsidRPr="001F250F">
        <w:t xml:space="preserve"> </w:t>
      </w:r>
      <w:r w:rsidRPr="001F250F">
        <w:rPr>
          <w:i/>
          <w:iCs/>
        </w:rPr>
        <w:t>19</w:t>
      </w:r>
      <w:r w:rsidRPr="001F250F">
        <w:t>, no. 2 (2015): 85–94, https://doi.org/10.1016/j.cossms.2014.09.005.</w:t>
      </w:r>
    </w:p>
    <w:p w14:paraId="5A333FA9" w14:textId="77777777" w:rsidR="001F250F" w:rsidRPr="001F250F" w:rsidRDefault="001F250F" w:rsidP="001F250F">
      <w:pPr>
        <w:pStyle w:val="Bibliography"/>
      </w:pPr>
      <w:r w:rsidRPr="001F250F">
        <w:t xml:space="preserve">21. D. Zhang, L. Zhang, X. Zhang, et al., “Comparative Investigation of the Corrosion Behavior of Biomedical Zinc Alloys in Oxygen-Enriched Simulated Body Fluid Environments,” </w:t>
      </w:r>
      <w:r w:rsidRPr="001F250F">
        <w:rPr>
          <w:i/>
          <w:iCs/>
        </w:rPr>
        <w:t>Materials Today Communications</w:t>
      </w:r>
      <w:r w:rsidRPr="001F250F">
        <w:t xml:space="preserve"> </w:t>
      </w:r>
      <w:r w:rsidRPr="001F250F">
        <w:rPr>
          <w:i/>
          <w:iCs/>
        </w:rPr>
        <w:t>39</w:t>
      </w:r>
      <w:r w:rsidRPr="001F250F">
        <w:t xml:space="preserve"> (2024): 108811, https://doi.org/10.1016/j.mtcomm.2024.108811.</w:t>
      </w:r>
    </w:p>
    <w:p w14:paraId="7B1E2908" w14:textId="77777777" w:rsidR="001F250F" w:rsidRPr="001F250F" w:rsidRDefault="001F250F" w:rsidP="001F250F">
      <w:pPr>
        <w:pStyle w:val="Bibliography"/>
      </w:pPr>
      <w:r w:rsidRPr="001F250F">
        <w:t xml:space="preserve">22. A. P. Yadav, A. Nishikata, and T. Tsuru, “Oxygen Reduction Mechanism on Corroded Zinc,” </w:t>
      </w:r>
      <w:r w:rsidRPr="001F250F">
        <w:rPr>
          <w:i/>
          <w:iCs/>
        </w:rPr>
        <w:t>Journal of Electroanalytical Chemistry</w:t>
      </w:r>
      <w:r w:rsidRPr="001F250F">
        <w:t xml:space="preserve"> </w:t>
      </w:r>
      <w:r w:rsidRPr="001F250F">
        <w:rPr>
          <w:i/>
          <w:iCs/>
        </w:rPr>
        <w:t>585</w:t>
      </w:r>
      <w:r w:rsidRPr="001F250F">
        <w:t>, no. 1 (2005): 142–149, https://doi.org/10.1016/j.jelechem.2005.08.007.</w:t>
      </w:r>
    </w:p>
    <w:p w14:paraId="4F1914A9" w14:textId="77777777" w:rsidR="001F250F" w:rsidRPr="001F250F" w:rsidRDefault="001F250F" w:rsidP="001F250F">
      <w:pPr>
        <w:pStyle w:val="Bibliography"/>
      </w:pPr>
      <w:r w:rsidRPr="001F250F">
        <w:t xml:space="preserve">23. C. Chen, M. Hofmann, and T. Wallmersperger, “Modeling the Uniform Corrosion Behavior of Zinc in Salt Spray Testing,” </w:t>
      </w:r>
      <w:r w:rsidRPr="001F250F">
        <w:rPr>
          <w:i/>
          <w:iCs/>
        </w:rPr>
        <w:t>npj Materials Degradation</w:t>
      </w:r>
      <w:r w:rsidRPr="001F250F">
        <w:t xml:space="preserve"> </w:t>
      </w:r>
      <w:r w:rsidRPr="001F250F">
        <w:rPr>
          <w:i/>
          <w:iCs/>
        </w:rPr>
        <w:t>10</w:t>
      </w:r>
      <w:r w:rsidRPr="001F250F">
        <w:t>, no. 1 (2026): 37, https://doi.org/10.1038/s41529-026-00749-0.</w:t>
      </w:r>
    </w:p>
    <w:p w14:paraId="103A81DF" w14:textId="77777777" w:rsidR="001F250F" w:rsidRPr="001F250F" w:rsidRDefault="001F250F" w:rsidP="001F250F">
      <w:pPr>
        <w:pStyle w:val="Bibliography"/>
      </w:pPr>
      <w:r w:rsidRPr="001F250F">
        <w:t xml:space="preserve">24. V. A. Bryzgalov, A. A. Kistanov, A. A. Izosimov, and E. A. Korznikova, “Atomic-Scale Study of Lattice Distortion and Oxygen-Rich Environment Impact on the Surface Degradation Dynamics of Zinc-Based Alloys,” </w:t>
      </w:r>
      <w:r w:rsidRPr="001F250F">
        <w:rPr>
          <w:i/>
          <w:iCs/>
        </w:rPr>
        <w:t>Computational Materials Science</w:t>
      </w:r>
      <w:r w:rsidRPr="001F250F">
        <w:t xml:space="preserve"> </w:t>
      </w:r>
      <w:r w:rsidRPr="001F250F">
        <w:rPr>
          <w:i/>
          <w:iCs/>
        </w:rPr>
        <w:t>252</w:t>
      </w:r>
      <w:r w:rsidRPr="001F250F">
        <w:t xml:space="preserve"> (2025): 113797, https://doi.org/10.1016/j.commatsci.2025.113797.</w:t>
      </w:r>
    </w:p>
    <w:p w14:paraId="2F94FFC2" w14:textId="77777777" w:rsidR="001F250F" w:rsidRPr="001F250F" w:rsidRDefault="001F250F" w:rsidP="001F250F">
      <w:pPr>
        <w:pStyle w:val="Bibliography"/>
      </w:pPr>
      <w:r w:rsidRPr="001F250F">
        <w:t xml:space="preserve">25. T. AlBaraghtheh, R. Willumeit‐Römer, and B. Zeller‐Plumhoff, “Best Practices in Developing a Workflow for Uncertainty Quantification for Modeling the Biodegradation of Mg‐Based Implants,” </w:t>
      </w:r>
      <w:r w:rsidRPr="001F250F">
        <w:rPr>
          <w:i/>
          <w:iCs/>
        </w:rPr>
        <w:t>Advanced Science</w:t>
      </w:r>
      <w:r w:rsidRPr="001F250F">
        <w:t xml:space="preserve"> </w:t>
      </w:r>
      <w:r w:rsidRPr="001F250F">
        <w:rPr>
          <w:i/>
          <w:iCs/>
        </w:rPr>
        <w:t>11</w:t>
      </w:r>
      <w:r w:rsidRPr="001F250F">
        <w:t>, no. 46 (2024): 2403543, https://doi.org/10.1002/advs.202403543.</w:t>
      </w:r>
    </w:p>
    <w:p w14:paraId="022494B7" w14:textId="77777777" w:rsidR="001F250F" w:rsidRPr="001F250F" w:rsidRDefault="001F250F" w:rsidP="001F250F">
      <w:pPr>
        <w:pStyle w:val="Bibliography"/>
      </w:pPr>
      <w:r w:rsidRPr="001F250F">
        <w:t xml:space="preserve">26. S. Huang, W. Wu, Y. Su, L. Qiao, and Y. Yan, “Insight into the Corrosion Behaviour and Degradation Mechanism of Pure Zinc in Simulated Body Fluid,” </w:t>
      </w:r>
      <w:r w:rsidRPr="001F250F">
        <w:rPr>
          <w:i/>
          <w:iCs/>
        </w:rPr>
        <w:t>Corrosion Science</w:t>
      </w:r>
      <w:r w:rsidRPr="001F250F">
        <w:t xml:space="preserve"> </w:t>
      </w:r>
      <w:r w:rsidRPr="001F250F">
        <w:rPr>
          <w:i/>
          <w:iCs/>
        </w:rPr>
        <w:t>178</w:t>
      </w:r>
      <w:r w:rsidRPr="001F250F">
        <w:t xml:space="preserve"> (2021): 109071, https://doi.org/10.1016/j.corsci.2020.109071.</w:t>
      </w:r>
    </w:p>
    <w:p w14:paraId="5069DEC9" w14:textId="77777777" w:rsidR="001F250F" w:rsidRPr="001F250F" w:rsidRDefault="001F250F" w:rsidP="001F250F">
      <w:pPr>
        <w:pStyle w:val="Bibliography"/>
      </w:pPr>
      <w:r w:rsidRPr="001F250F">
        <w:t xml:space="preserve">27. X. Liu, H. Yang, Y. Liu, et al., “Comparative Studies on Degradation Behavior of Pure Zinc in Various Simulated Body Fluids,” </w:t>
      </w:r>
      <w:r w:rsidRPr="001F250F">
        <w:rPr>
          <w:i/>
          <w:iCs/>
        </w:rPr>
        <w:t>JOM</w:t>
      </w:r>
      <w:r w:rsidRPr="001F250F">
        <w:t xml:space="preserve"> </w:t>
      </w:r>
      <w:r w:rsidRPr="001F250F">
        <w:rPr>
          <w:i/>
          <w:iCs/>
        </w:rPr>
        <w:t>71</w:t>
      </w:r>
      <w:r w:rsidRPr="001F250F">
        <w:t>, no. 4 (2019): 1414–1425, https://doi.org/10.1007/s11837-019-03357-3.</w:t>
      </w:r>
    </w:p>
    <w:p w14:paraId="0894A89B" w14:textId="77777777" w:rsidR="001F250F" w:rsidRPr="001F250F" w:rsidRDefault="001F250F" w:rsidP="001F250F">
      <w:pPr>
        <w:pStyle w:val="Bibliography"/>
      </w:pPr>
      <w:r w:rsidRPr="001F250F">
        <w:t xml:space="preserve">28. M. E. McMahon, R. J. Santucci, and J. R. Scully, “Advanced Chemical Stability Diagrams to Predict the Formation of Complex Zinc Compounds in a Chloride Environment,” </w:t>
      </w:r>
      <w:r w:rsidRPr="001F250F">
        <w:rPr>
          <w:i/>
          <w:iCs/>
        </w:rPr>
        <w:t>RSC Advances</w:t>
      </w:r>
      <w:r w:rsidRPr="001F250F">
        <w:t xml:space="preserve"> </w:t>
      </w:r>
      <w:r w:rsidRPr="001F250F">
        <w:rPr>
          <w:i/>
          <w:iCs/>
        </w:rPr>
        <w:t>9</w:t>
      </w:r>
      <w:r w:rsidRPr="001F250F">
        <w:t>, no. 35 (2019): 19905–19916, https://doi.org/10.1039/C9RA00228F.</w:t>
      </w:r>
    </w:p>
    <w:p w14:paraId="4A14F5C9" w14:textId="77777777" w:rsidR="001F250F" w:rsidRPr="001F250F" w:rsidRDefault="001F250F" w:rsidP="001F250F">
      <w:pPr>
        <w:pStyle w:val="Bibliography"/>
      </w:pPr>
      <w:r w:rsidRPr="001F250F">
        <w:t xml:space="preserve">29. R. M. Katona, J. Taylor, and R. F. Schaller, “Validating Corrosion Models: A Comparison of Governing Equations,” </w:t>
      </w:r>
      <w:r w:rsidRPr="001F250F">
        <w:rPr>
          <w:i/>
          <w:iCs/>
        </w:rPr>
        <w:t>Corrosion Science</w:t>
      </w:r>
      <w:r w:rsidRPr="001F250F">
        <w:t xml:space="preserve"> </w:t>
      </w:r>
      <w:r w:rsidRPr="001F250F">
        <w:rPr>
          <w:i/>
          <w:iCs/>
        </w:rPr>
        <w:t>259</w:t>
      </w:r>
      <w:r w:rsidRPr="001F250F">
        <w:t xml:space="preserve"> (2026): 113495, https://doi.org/10.1016/j.corsci.2025.113495.</w:t>
      </w:r>
    </w:p>
    <w:p w14:paraId="2125F1B2" w14:textId="77777777" w:rsidR="001F250F" w:rsidRPr="001F250F" w:rsidRDefault="001F250F" w:rsidP="001F250F">
      <w:pPr>
        <w:pStyle w:val="Bibliography"/>
      </w:pPr>
      <w:r w:rsidRPr="001F250F">
        <w:t xml:space="preserve">30. P. Grathwohl, “Diffusion in Natural Porous Media: Contaminant Transport, Sorption/Desorption and Dissolution Kinetics,” </w:t>
      </w:r>
      <w:r w:rsidRPr="001F250F">
        <w:rPr>
          <w:i/>
          <w:iCs/>
        </w:rPr>
        <w:t>Diffusion in Natural Porous Media: Contaminant Transport, Sorption/Desorption and Dissolution Kinetics</w:t>
      </w:r>
      <w:r w:rsidRPr="001F250F">
        <w:t>, Springer: Boston, MA 1998, https://doi.org/10.1007/978-1-4615-5683-1.</w:t>
      </w:r>
    </w:p>
    <w:p w14:paraId="47B5ECB1" w14:textId="77777777" w:rsidR="001F250F" w:rsidRPr="001F250F" w:rsidRDefault="001F250F" w:rsidP="001F250F">
      <w:pPr>
        <w:pStyle w:val="Bibliography"/>
      </w:pPr>
      <w:r w:rsidRPr="001F250F">
        <w:t xml:space="preserve">31. J. W. Wilder, C. Clemons, D. Golovaty, K. L. Kreider, G. W. Young, and R. S. Lillard, “An Adaptive Level Set Approach for Modeling Damage Due to Galvanic Corrosion,” </w:t>
      </w:r>
      <w:r w:rsidRPr="001F250F">
        <w:rPr>
          <w:i/>
          <w:iCs/>
        </w:rPr>
        <w:t>Journal of Engineering Mathematics</w:t>
      </w:r>
      <w:r w:rsidRPr="001F250F">
        <w:t xml:space="preserve"> </w:t>
      </w:r>
      <w:r w:rsidRPr="001F250F">
        <w:rPr>
          <w:i/>
          <w:iCs/>
        </w:rPr>
        <w:t>91</w:t>
      </w:r>
      <w:r w:rsidRPr="001F250F">
        <w:t>, no. 1 (2015): 121–142, https://doi.org/10.1007/s10665-014-9732-3.</w:t>
      </w:r>
    </w:p>
    <w:p w14:paraId="29461087" w14:textId="77777777" w:rsidR="001F250F" w:rsidRPr="001F250F" w:rsidRDefault="001F250F" w:rsidP="001F250F">
      <w:pPr>
        <w:pStyle w:val="Bibliography"/>
      </w:pPr>
      <w:r w:rsidRPr="001F250F">
        <w:t xml:space="preserve">32. J. R. Rumble, Ed., “CRC Handbook of Chemistry and Physics,” </w:t>
      </w:r>
      <w:r w:rsidRPr="001F250F">
        <w:rPr>
          <w:i/>
          <w:iCs/>
        </w:rPr>
        <w:t>CRC handbook of chemistry and physics</w:t>
      </w:r>
      <w:r w:rsidRPr="001F250F">
        <w:t>, 98th edition 2017-2018., CRC Press, Taylor &amp; Francis Group: Boca Raton London New York 2017.</w:t>
      </w:r>
    </w:p>
    <w:p w14:paraId="7FF4D6CB" w14:textId="77777777" w:rsidR="001F250F" w:rsidRPr="001F250F" w:rsidRDefault="001F250F" w:rsidP="001F250F">
      <w:pPr>
        <w:pStyle w:val="Bibliography"/>
      </w:pPr>
      <w:r w:rsidRPr="001F250F">
        <w:t>33. P. Han, and D. M. Bartels, “</w:t>
      </w:r>
      <w:r w:rsidRPr="001F250F">
        <w:rPr>
          <w:b/>
          <w:bCs/>
        </w:rPr>
        <w:t>Temperature Dependence of Oxygen Diffusion in</w:t>
      </w:r>
      <w:r w:rsidRPr="001F250F">
        <w:t xml:space="preserve"> </w:t>
      </w:r>
      <w:r w:rsidRPr="001F250F">
        <w:rPr>
          <w:b/>
          <w:bCs/>
        </w:rPr>
        <w:t>H</w:t>
      </w:r>
      <w:r w:rsidRPr="001F250F">
        <w:t xml:space="preserve"> </w:t>
      </w:r>
      <w:r w:rsidRPr="001F250F">
        <w:rPr>
          <w:b/>
          <w:bCs/>
          <w:vertAlign w:val="subscript"/>
        </w:rPr>
        <w:t>2</w:t>
      </w:r>
      <w:r w:rsidRPr="001F250F">
        <w:rPr>
          <w:b/>
          <w:bCs/>
        </w:rPr>
        <w:t xml:space="preserve"> </w:t>
      </w:r>
      <w:r w:rsidRPr="001F250F">
        <w:t xml:space="preserve"> </w:t>
      </w:r>
      <w:r w:rsidRPr="001F250F">
        <w:rPr>
          <w:b/>
          <w:bCs/>
        </w:rPr>
        <w:t>O and D</w:t>
      </w:r>
      <w:r w:rsidRPr="001F250F">
        <w:t xml:space="preserve"> </w:t>
      </w:r>
      <w:r w:rsidRPr="001F250F">
        <w:rPr>
          <w:b/>
          <w:bCs/>
          <w:vertAlign w:val="subscript"/>
        </w:rPr>
        <w:t>2</w:t>
      </w:r>
      <w:r w:rsidRPr="001F250F">
        <w:rPr>
          <w:b/>
          <w:bCs/>
        </w:rPr>
        <w:t xml:space="preserve"> </w:t>
      </w:r>
      <w:r w:rsidRPr="001F250F">
        <w:t xml:space="preserve"> </w:t>
      </w:r>
      <w:r w:rsidRPr="001F250F">
        <w:rPr>
          <w:b/>
          <w:bCs/>
        </w:rPr>
        <w:t>O</w:t>
      </w:r>
      <w:r w:rsidRPr="001F250F">
        <w:t xml:space="preserve">,” </w:t>
      </w:r>
      <w:r w:rsidRPr="001F250F">
        <w:rPr>
          <w:i/>
          <w:iCs/>
        </w:rPr>
        <w:t>The Journal of Physical Chemistry</w:t>
      </w:r>
      <w:r w:rsidRPr="001F250F">
        <w:t xml:space="preserve"> </w:t>
      </w:r>
      <w:r w:rsidRPr="001F250F">
        <w:rPr>
          <w:i/>
          <w:iCs/>
        </w:rPr>
        <w:t>100</w:t>
      </w:r>
      <w:r w:rsidRPr="001F250F">
        <w:t>, no. 13 (1996): 5597–5602, https://doi.org/10.1021/jp952903y.</w:t>
      </w:r>
    </w:p>
    <w:p w14:paraId="6EE11C16" w14:textId="77777777" w:rsidR="001F250F" w:rsidRPr="001F250F" w:rsidRDefault="001F250F" w:rsidP="001F250F">
      <w:pPr>
        <w:pStyle w:val="Bibliography"/>
      </w:pPr>
      <w:r w:rsidRPr="001F250F">
        <w:t xml:space="preserve">34. S.-Y. Park, S.-H. Rho, H.-S. Lee, K.-M. Kim, and H.-C. Lee, “Fabrication of Highly Porous and Pure Zinc Oxide Films Using Modified DC Magnetron Sputtering and Post-Oxidation,” </w:t>
      </w:r>
      <w:r w:rsidRPr="001F250F">
        <w:rPr>
          <w:i/>
          <w:iCs/>
        </w:rPr>
        <w:t>Materials</w:t>
      </w:r>
      <w:r w:rsidRPr="001F250F">
        <w:t xml:space="preserve"> </w:t>
      </w:r>
      <w:r w:rsidRPr="001F250F">
        <w:rPr>
          <w:i/>
          <w:iCs/>
        </w:rPr>
        <w:t>14</w:t>
      </w:r>
      <w:r w:rsidRPr="001F250F">
        <w:t>, no. 20 (2021): 6112, https://doi.org/10.3390/ma14206112.</w:t>
      </w:r>
    </w:p>
    <w:p w14:paraId="4CFF5906" w14:textId="77777777" w:rsidR="001F250F" w:rsidRPr="001F250F" w:rsidRDefault="001F250F" w:rsidP="001F250F">
      <w:pPr>
        <w:pStyle w:val="Bibliography"/>
      </w:pPr>
      <w:r w:rsidRPr="001F250F">
        <w:t xml:space="preserve">35. L. Holzer, P. Marmet, M. Fingerle, A. Wiegmann, M. Neumann, and V. Schmidt, “Tortuosity-Porosity Relationships: Review of Empirical Data from Literature,” in </w:t>
      </w:r>
      <w:r w:rsidRPr="001F250F">
        <w:rPr>
          <w:i/>
          <w:iCs/>
        </w:rPr>
        <w:t>Tortuosity and Microstructure Effects in Porous Media</w:t>
      </w:r>
      <w:r w:rsidRPr="001F250F">
        <w:t>, Vol. 333, Springer International Publishing: Cham 2023, pp. 51–89, https://doi.org/10.1007/978-3-031-30477-4_3.</w:t>
      </w:r>
    </w:p>
    <w:p w14:paraId="7B071DB5" w14:textId="77777777" w:rsidR="001F250F" w:rsidRPr="001F250F" w:rsidRDefault="001F250F" w:rsidP="001F250F">
      <w:pPr>
        <w:pStyle w:val="Bibliography"/>
      </w:pPr>
      <w:r w:rsidRPr="001F250F">
        <w:t xml:space="preserve">36. J. Tkacz, K. Slouková, J. Minda, et al., “Influence of the Composition of the Hank’s Balanced Salt Solution on the Corrosion Behavior of AZ31 and AZ61 Magnesium Alloys,” </w:t>
      </w:r>
      <w:r w:rsidRPr="001F250F">
        <w:rPr>
          <w:i/>
          <w:iCs/>
        </w:rPr>
        <w:t>Metals</w:t>
      </w:r>
      <w:r w:rsidRPr="001F250F">
        <w:t xml:space="preserve"> </w:t>
      </w:r>
      <w:r w:rsidRPr="001F250F">
        <w:rPr>
          <w:i/>
          <w:iCs/>
        </w:rPr>
        <w:t>7</w:t>
      </w:r>
      <w:r w:rsidRPr="001F250F">
        <w:t>, no. 11 (2017): 465, https://doi.org/10.3390/met7110465.</w:t>
      </w:r>
    </w:p>
    <w:p w14:paraId="5B0BA37C" w14:textId="77777777" w:rsidR="001F250F" w:rsidRPr="001F250F" w:rsidRDefault="001F250F" w:rsidP="001F250F">
      <w:pPr>
        <w:pStyle w:val="Bibliography"/>
      </w:pPr>
      <w:r w:rsidRPr="001F250F">
        <w:t xml:space="preserve">37. T. Kokubo, and H. Takadama, “How Useful Is SBF in Predicting in Vivo Bone Bioactivity?,” </w:t>
      </w:r>
      <w:r w:rsidRPr="001F250F">
        <w:rPr>
          <w:i/>
          <w:iCs/>
        </w:rPr>
        <w:t>Biomaterials</w:t>
      </w:r>
      <w:r w:rsidRPr="001F250F">
        <w:t xml:space="preserve"> </w:t>
      </w:r>
      <w:r w:rsidRPr="001F250F">
        <w:rPr>
          <w:i/>
          <w:iCs/>
        </w:rPr>
        <w:t>27</w:t>
      </w:r>
      <w:r w:rsidRPr="001F250F">
        <w:t>, no. 15 (2006): 2907–2915, https://doi.org/10.1016/j.biomaterials.2006.01.017.</w:t>
      </w:r>
    </w:p>
    <w:p w14:paraId="688BBA44" w14:textId="77777777" w:rsidR="001F250F" w:rsidRPr="001F250F" w:rsidRDefault="001F250F" w:rsidP="001F250F">
      <w:pPr>
        <w:pStyle w:val="Bibliography"/>
      </w:pPr>
      <w:r w:rsidRPr="001F250F">
        <w:t xml:space="preserve">38. L. Liu, Y. Meng, C. Dong, Y. Yan, A. A. Volinsky, and L.-N. Wang, “Initial Formation of Corrosion Products on Pure Zinc in Simulated Body Fluid,” </w:t>
      </w:r>
      <w:r w:rsidRPr="001F250F">
        <w:rPr>
          <w:i/>
          <w:iCs/>
        </w:rPr>
        <w:t>Journal of Materials Science &amp; Technology</w:t>
      </w:r>
      <w:r w:rsidRPr="001F250F">
        <w:t xml:space="preserve"> </w:t>
      </w:r>
      <w:r w:rsidRPr="001F250F">
        <w:rPr>
          <w:i/>
          <w:iCs/>
        </w:rPr>
        <w:t>34</w:t>
      </w:r>
      <w:r w:rsidRPr="001F250F">
        <w:t>, no. 12 (2018): 2271–2282, https://doi.org/10.1016/j.jmst.2018.05.005.</w:t>
      </w:r>
    </w:p>
    <w:p w14:paraId="5375A3F6" w14:textId="77777777" w:rsidR="001F250F" w:rsidRPr="001F250F" w:rsidRDefault="001F250F" w:rsidP="001F250F">
      <w:pPr>
        <w:pStyle w:val="Bibliography"/>
      </w:pPr>
      <w:r w:rsidRPr="001F250F">
        <w:t xml:space="preserve">39. E. Mostaed, M. Sikora-Jasinska, J. W. Drelich, and M. Vedani, “Zinc-Based Alloys for Degradable Vascular Stent Applications,” </w:t>
      </w:r>
      <w:r w:rsidRPr="001F250F">
        <w:rPr>
          <w:i/>
          <w:iCs/>
        </w:rPr>
        <w:t>Acta Biomaterialia</w:t>
      </w:r>
      <w:r w:rsidRPr="001F250F">
        <w:t xml:space="preserve"> </w:t>
      </w:r>
      <w:r w:rsidRPr="001F250F">
        <w:rPr>
          <w:i/>
          <w:iCs/>
        </w:rPr>
        <w:t>71</w:t>
      </w:r>
      <w:r w:rsidRPr="001F250F">
        <w:t xml:space="preserve"> (2018): 1–23, https://doi.org/10.1016/j.actbio.2018.03.005.</w:t>
      </w:r>
    </w:p>
    <w:p w14:paraId="631FE55D" w14:textId="77777777" w:rsidR="001F250F" w:rsidRPr="001F250F" w:rsidRDefault="001F250F" w:rsidP="001F250F">
      <w:pPr>
        <w:pStyle w:val="Bibliography"/>
      </w:pPr>
      <w:r w:rsidRPr="001F250F">
        <w:t xml:space="preserve">40. Y. Meng, L. Liu, D. Zhang, et al., “Initial Formation of Corrosion Products on Pure Zinc in Saline Solution,” </w:t>
      </w:r>
      <w:r w:rsidRPr="001F250F">
        <w:rPr>
          <w:i/>
          <w:iCs/>
        </w:rPr>
        <w:t>Bioactive Materials</w:t>
      </w:r>
      <w:r w:rsidRPr="001F250F">
        <w:t xml:space="preserve"> </w:t>
      </w:r>
      <w:r w:rsidRPr="001F250F">
        <w:rPr>
          <w:i/>
          <w:iCs/>
        </w:rPr>
        <w:t>4</w:t>
      </w:r>
      <w:r w:rsidRPr="001F250F">
        <w:t xml:space="preserve"> (2019): 87–96, https://doi.org/10.1016/j.bioactmat.2018.08.003.</w:t>
      </w:r>
    </w:p>
    <w:p w14:paraId="59AF082F" w14:textId="77777777" w:rsidR="001F250F" w:rsidRPr="001F250F" w:rsidRDefault="001F250F" w:rsidP="001F250F">
      <w:pPr>
        <w:pStyle w:val="Bibliography"/>
      </w:pPr>
      <w:r w:rsidRPr="001F250F">
        <w:t xml:space="preserve">41. Y. Li, J. Wang, K. Sheng, et al., “Optimizing Structural Design on Biodegradable Magnesium Alloy Vascular Stent for Reducing Strut Thickness and Raising Radial Strength,” </w:t>
      </w:r>
      <w:r w:rsidRPr="001F250F">
        <w:rPr>
          <w:i/>
          <w:iCs/>
        </w:rPr>
        <w:t>Materials &amp; Design</w:t>
      </w:r>
      <w:r w:rsidRPr="001F250F">
        <w:t xml:space="preserve"> </w:t>
      </w:r>
      <w:r w:rsidRPr="001F250F">
        <w:rPr>
          <w:i/>
          <w:iCs/>
        </w:rPr>
        <w:t>220</w:t>
      </w:r>
      <w:r w:rsidRPr="001F250F">
        <w:t xml:space="preserve"> (2022): 110843, https://doi.org/10.1016/j.matdes.2022.110843.</w:t>
      </w:r>
    </w:p>
    <w:p w14:paraId="2AD9E664" w14:textId="77777777" w:rsidR="001F250F" w:rsidRPr="001F250F" w:rsidRDefault="001F250F" w:rsidP="001F250F">
      <w:pPr>
        <w:pStyle w:val="Bibliography"/>
      </w:pPr>
      <w:r w:rsidRPr="001F250F">
        <w:t xml:space="preserve">42. J. Chen, F. Dong, and S. Liu, “Design and Mechanical Performance Evaluation of WE43 Magnesium Alloy Biodegradable Stents via Finite Element Analysis,” </w:t>
      </w:r>
      <w:r w:rsidRPr="001F250F">
        <w:rPr>
          <w:i/>
          <w:iCs/>
        </w:rPr>
        <w:t>Metals</w:t>
      </w:r>
      <w:r w:rsidRPr="001F250F">
        <w:t xml:space="preserve"> </w:t>
      </w:r>
      <w:r w:rsidRPr="001F250F">
        <w:rPr>
          <w:i/>
          <w:iCs/>
        </w:rPr>
        <w:t>14</w:t>
      </w:r>
      <w:r w:rsidRPr="001F250F">
        <w:t>, no. 6 (2024): 704, https://doi.org/10.3390/met14060704.</w:t>
      </w:r>
    </w:p>
    <w:p w14:paraId="15681BB7" w14:textId="3139D56D"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D6318" w14:textId="77777777" w:rsidR="00D5249E" w:rsidRDefault="00D5249E">
      <w:r>
        <w:separator/>
      </w:r>
    </w:p>
  </w:endnote>
  <w:endnote w:type="continuationSeparator" w:id="0">
    <w:p w14:paraId="3B3DA0CC" w14:textId="77777777" w:rsidR="00D5249E" w:rsidRDefault="00D52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00000287" w:usb1="08070000" w:usb2="00000010"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9DA97" w14:textId="77777777" w:rsidR="00D5249E" w:rsidRDefault="00D5249E">
      <w:r>
        <w:separator/>
      </w:r>
    </w:p>
  </w:footnote>
  <w:footnote w:type="continuationSeparator" w:id="0">
    <w:p w14:paraId="618797FD" w14:textId="77777777" w:rsidR="00D5249E" w:rsidRDefault="00D52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46708"/>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54C"/>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021F"/>
    <w:rsid w:val="000D14B2"/>
    <w:rsid w:val="000D27D0"/>
    <w:rsid w:val="000D2C07"/>
    <w:rsid w:val="000D2D4B"/>
    <w:rsid w:val="000D45F4"/>
    <w:rsid w:val="000D5AB4"/>
    <w:rsid w:val="000D66DB"/>
    <w:rsid w:val="000D7EBA"/>
    <w:rsid w:val="000D7FE6"/>
    <w:rsid w:val="000E4591"/>
    <w:rsid w:val="000E788B"/>
    <w:rsid w:val="000E7A5B"/>
    <w:rsid w:val="000E7BBA"/>
    <w:rsid w:val="000F00DD"/>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50F"/>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1ACE"/>
    <w:rsid w:val="00232D62"/>
    <w:rsid w:val="00233C8A"/>
    <w:rsid w:val="00236036"/>
    <w:rsid w:val="00240D90"/>
    <w:rsid w:val="00241425"/>
    <w:rsid w:val="002443F3"/>
    <w:rsid w:val="002448E7"/>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C6CA6"/>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2CE"/>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08A4"/>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33E0"/>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2E8F"/>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4FF"/>
    <w:rsid w:val="00532960"/>
    <w:rsid w:val="005332ED"/>
    <w:rsid w:val="005346D2"/>
    <w:rsid w:val="00540BB4"/>
    <w:rsid w:val="00545A73"/>
    <w:rsid w:val="00546DEB"/>
    <w:rsid w:val="00546F0F"/>
    <w:rsid w:val="005477E7"/>
    <w:rsid w:val="00550159"/>
    <w:rsid w:val="00551897"/>
    <w:rsid w:val="00551FFD"/>
    <w:rsid w:val="00552A0F"/>
    <w:rsid w:val="00553854"/>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673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230E"/>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1E22"/>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28C"/>
    <w:rsid w:val="00682526"/>
    <w:rsid w:val="006831A5"/>
    <w:rsid w:val="00683555"/>
    <w:rsid w:val="00683888"/>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67C24"/>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4FF"/>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621"/>
    <w:rsid w:val="008B5740"/>
    <w:rsid w:val="008C0A8C"/>
    <w:rsid w:val="008C0B84"/>
    <w:rsid w:val="008C0FEB"/>
    <w:rsid w:val="008C3842"/>
    <w:rsid w:val="008C41DA"/>
    <w:rsid w:val="008C4C06"/>
    <w:rsid w:val="008C553A"/>
    <w:rsid w:val="008C588E"/>
    <w:rsid w:val="008C6D5F"/>
    <w:rsid w:val="008C71CF"/>
    <w:rsid w:val="008C7226"/>
    <w:rsid w:val="008D0763"/>
    <w:rsid w:val="008D54CA"/>
    <w:rsid w:val="008D7B80"/>
    <w:rsid w:val="008E243B"/>
    <w:rsid w:val="008E2CD9"/>
    <w:rsid w:val="008E4184"/>
    <w:rsid w:val="008E5454"/>
    <w:rsid w:val="008E549F"/>
    <w:rsid w:val="008E5EAC"/>
    <w:rsid w:val="008E5F2E"/>
    <w:rsid w:val="008E6301"/>
    <w:rsid w:val="008F10BC"/>
    <w:rsid w:val="008F193D"/>
    <w:rsid w:val="008F2052"/>
    <w:rsid w:val="008F26ED"/>
    <w:rsid w:val="008F2761"/>
    <w:rsid w:val="008F2A38"/>
    <w:rsid w:val="008F3012"/>
    <w:rsid w:val="008F3509"/>
    <w:rsid w:val="008F592B"/>
    <w:rsid w:val="008F71FA"/>
    <w:rsid w:val="00901D14"/>
    <w:rsid w:val="009020AA"/>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CDD"/>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531F"/>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6791C"/>
    <w:rsid w:val="00A7086D"/>
    <w:rsid w:val="00A71AD5"/>
    <w:rsid w:val="00A72203"/>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29D8"/>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341C"/>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288D"/>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A2F"/>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249E"/>
    <w:rsid w:val="00D5411E"/>
    <w:rsid w:val="00D54E6B"/>
    <w:rsid w:val="00D55D10"/>
    <w:rsid w:val="00D55D94"/>
    <w:rsid w:val="00D564E7"/>
    <w:rsid w:val="00D56566"/>
    <w:rsid w:val="00D647A4"/>
    <w:rsid w:val="00D6487A"/>
    <w:rsid w:val="00D648BB"/>
    <w:rsid w:val="00D64E04"/>
    <w:rsid w:val="00D65A5E"/>
    <w:rsid w:val="00D65E50"/>
    <w:rsid w:val="00D65ED4"/>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3BF7"/>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86455"/>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4258487">
      <w:bodyDiv w:val="1"/>
      <w:marLeft w:val="0"/>
      <w:marRight w:val="0"/>
      <w:marTop w:val="0"/>
      <w:marBottom w:val="0"/>
      <w:divBdr>
        <w:top w:val="none" w:sz="0" w:space="0" w:color="auto"/>
        <w:left w:val="none" w:sz="0" w:space="0" w:color="auto"/>
        <w:bottom w:val="none" w:sz="0" w:space="0" w:color="auto"/>
        <w:right w:val="none" w:sz="0" w:space="0" w:color="auto"/>
      </w:divBdr>
      <w:divsChild>
        <w:div w:id="544410335">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1853675">
      <w:bodyDiv w:val="1"/>
      <w:marLeft w:val="0"/>
      <w:marRight w:val="0"/>
      <w:marTop w:val="0"/>
      <w:marBottom w:val="0"/>
      <w:divBdr>
        <w:top w:val="none" w:sz="0" w:space="0" w:color="auto"/>
        <w:left w:val="none" w:sz="0" w:space="0" w:color="auto"/>
        <w:bottom w:val="none" w:sz="0" w:space="0" w:color="auto"/>
        <w:right w:val="none" w:sz="0" w:space="0" w:color="auto"/>
      </w:divBdr>
      <w:divsChild>
        <w:div w:id="1855070087">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2629045">
      <w:bodyDiv w:val="1"/>
      <w:marLeft w:val="0"/>
      <w:marRight w:val="0"/>
      <w:marTop w:val="0"/>
      <w:marBottom w:val="0"/>
      <w:divBdr>
        <w:top w:val="none" w:sz="0" w:space="0" w:color="auto"/>
        <w:left w:val="none" w:sz="0" w:space="0" w:color="auto"/>
        <w:bottom w:val="none" w:sz="0" w:space="0" w:color="auto"/>
        <w:right w:val="none" w:sz="0" w:space="0" w:color="auto"/>
      </w:divBdr>
      <w:divsChild>
        <w:div w:id="1739009485">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3822231">
      <w:bodyDiv w:val="1"/>
      <w:marLeft w:val="0"/>
      <w:marRight w:val="0"/>
      <w:marTop w:val="0"/>
      <w:marBottom w:val="0"/>
      <w:divBdr>
        <w:top w:val="none" w:sz="0" w:space="0" w:color="auto"/>
        <w:left w:val="none" w:sz="0" w:space="0" w:color="auto"/>
        <w:bottom w:val="none" w:sz="0" w:space="0" w:color="auto"/>
        <w:right w:val="none" w:sz="0" w:space="0" w:color="auto"/>
      </w:divBdr>
      <w:divsChild>
        <w:div w:id="189031345">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4805933">
      <w:bodyDiv w:val="1"/>
      <w:marLeft w:val="0"/>
      <w:marRight w:val="0"/>
      <w:marTop w:val="0"/>
      <w:marBottom w:val="0"/>
      <w:divBdr>
        <w:top w:val="none" w:sz="0" w:space="0" w:color="auto"/>
        <w:left w:val="none" w:sz="0" w:space="0" w:color="auto"/>
        <w:bottom w:val="none" w:sz="0" w:space="0" w:color="auto"/>
        <w:right w:val="none" w:sz="0" w:space="0" w:color="auto"/>
      </w:divBdr>
      <w:divsChild>
        <w:div w:id="1490051243">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214200">
      <w:bodyDiv w:val="1"/>
      <w:marLeft w:val="0"/>
      <w:marRight w:val="0"/>
      <w:marTop w:val="0"/>
      <w:marBottom w:val="0"/>
      <w:divBdr>
        <w:top w:val="none" w:sz="0" w:space="0" w:color="auto"/>
        <w:left w:val="none" w:sz="0" w:space="0" w:color="auto"/>
        <w:bottom w:val="none" w:sz="0" w:space="0" w:color="auto"/>
        <w:right w:val="none" w:sz="0" w:space="0" w:color="auto"/>
      </w:divBdr>
      <w:divsChild>
        <w:div w:id="1049954376">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28287876">
      <w:bodyDiv w:val="1"/>
      <w:marLeft w:val="0"/>
      <w:marRight w:val="0"/>
      <w:marTop w:val="0"/>
      <w:marBottom w:val="0"/>
      <w:divBdr>
        <w:top w:val="none" w:sz="0" w:space="0" w:color="auto"/>
        <w:left w:val="none" w:sz="0" w:space="0" w:color="auto"/>
        <w:bottom w:val="none" w:sz="0" w:space="0" w:color="auto"/>
        <w:right w:val="none" w:sz="0" w:space="0" w:color="auto"/>
      </w:divBdr>
      <w:divsChild>
        <w:div w:id="428895585">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274750">
      <w:bodyDiv w:val="1"/>
      <w:marLeft w:val="0"/>
      <w:marRight w:val="0"/>
      <w:marTop w:val="0"/>
      <w:marBottom w:val="0"/>
      <w:divBdr>
        <w:top w:val="none" w:sz="0" w:space="0" w:color="auto"/>
        <w:left w:val="none" w:sz="0" w:space="0" w:color="auto"/>
        <w:bottom w:val="none" w:sz="0" w:space="0" w:color="auto"/>
        <w:right w:val="none" w:sz="0" w:space="0" w:color="auto"/>
      </w:divBdr>
      <w:divsChild>
        <w:div w:id="891841723">
          <w:marLeft w:val="0"/>
          <w:marRight w:val="0"/>
          <w:marTop w:val="0"/>
          <w:marBottom w:val="0"/>
          <w:divBdr>
            <w:top w:val="none" w:sz="0" w:space="0" w:color="auto"/>
            <w:left w:val="none" w:sz="0" w:space="0" w:color="auto"/>
            <w:bottom w:val="none" w:sz="0" w:space="0" w:color="auto"/>
            <w:right w:val="none" w:sz="0" w:space="0" w:color="auto"/>
          </w:divBdr>
        </w:div>
      </w:divsChild>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1162984">
      <w:bodyDiv w:val="1"/>
      <w:marLeft w:val="0"/>
      <w:marRight w:val="0"/>
      <w:marTop w:val="0"/>
      <w:marBottom w:val="0"/>
      <w:divBdr>
        <w:top w:val="none" w:sz="0" w:space="0" w:color="auto"/>
        <w:left w:val="none" w:sz="0" w:space="0" w:color="auto"/>
        <w:bottom w:val="none" w:sz="0" w:space="0" w:color="auto"/>
        <w:right w:val="none" w:sz="0" w:space="0" w:color="auto"/>
      </w:divBdr>
      <w:divsChild>
        <w:div w:id="138501809">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5178061">
      <w:bodyDiv w:val="1"/>
      <w:marLeft w:val="0"/>
      <w:marRight w:val="0"/>
      <w:marTop w:val="0"/>
      <w:marBottom w:val="0"/>
      <w:divBdr>
        <w:top w:val="none" w:sz="0" w:space="0" w:color="auto"/>
        <w:left w:val="none" w:sz="0" w:space="0" w:color="auto"/>
        <w:bottom w:val="none" w:sz="0" w:space="0" w:color="auto"/>
        <w:right w:val="none" w:sz="0" w:space="0" w:color="auto"/>
      </w:divBdr>
      <w:divsChild>
        <w:div w:id="8614808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4.xml><?xml version="1.0" encoding="utf-8"?>
<ds:datastoreItem xmlns:ds="http://schemas.openxmlformats.org/officeDocument/2006/customXml" ds:itemID="{75886F76-A765-4714-B899-7AC2DC4334A1}">
  <ds:schemaRefs>
    <ds:schemaRef ds:uri="http://schemas.microsoft.com/sharepoint/v3/contenttype/forms"/>
  </ds:schemaRefs>
</ds:datastoreItem>
</file>

<file path=customXml/itemProps5.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2128</TotalTime>
  <Pages>30</Pages>
  <Words>24641</Words>
  <Characters>140455</Characters>
  <Application>Microsoft Office Word</Application>
  <DocSecurity>0</DocSecurity>
  <Lines>1170</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27</cp:revision>
  <cp:lastPrinted>2026-10-09T06:30:00Z</cp:lastPrinted>
  <dcterms:created xsi:type="dcterms:W3CDTF">2026-10-01T06:12:00Z</dcterms:created>
  <dcterms:modified xsi:type="dcterms:W3CDTF">2026-10-09T06:32:00Z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zotero-version="10.0.6"&gt;&lt;session id="zzfcQ8cr"/&gt;&lt;style id="http://www.zotero.org/styles/advanced-science" hasBibliography="1" bibliographyStyleHasBeenSet="1"/&gt;&lt;prefs&gt;&lt;pref name="fieldType" value="Field"/&gt;&lt;/prefs&gt;&lt;/data&gt;</vt:lpwstr>
  </property>
</Properties>
</file>