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pageBreakBefore/>
        <w:spacing w:before="360"/>
      </w:pPr>
      <w:r>
        <w:t>S1. Model equations and velocity-selection rule</w:t>
      </w:r>
    </w:p>
    <w:p>
      <w:pPr>
        <w:pStyle w:val="BodyText"/>
        <w:spacing w:before="0" w:after="120" w:line="360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 w:line="360" w:lineRule="auto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 w:line="360" w:lineRule="auto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spacing w:line="360" w:lineRule="auto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360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360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36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36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36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36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36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36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360" w:lineRule="auto"/>
        <w:ind w:firstLine="0"/>
        <w:jc w:val="both"/>
      </w:pPr>
      <w:r w:rsidRPr="00430123">
        <w:t xml:space="preserve"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</w:p>
    <w:p>
      <w:pPr>
        <w:pStyle w:val="BodyText"/>
        <w:spacing w:before="0" w:after="120" w:line="360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>
      <w:pPr>
        <w:pStyle w:val="BodyText"/>
        <w:keepNext/>
        <w:spacing w:before="0" w:after="120" w:line="360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360" w:lineRule="auto"/>
        <w:ind w:firstLine="0"/>
        <w:jc w:val="both"/>
      </w:pPr>
      <w:r>
        <w:t>where MassLoss_Li is the predicted mass loss for mesh level Li and MassLoss_Reference is the predicted mass loss for the reference mesh (21.25 million elements).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1465.8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441.6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3007.8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360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3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360" w:lineRule="auto"/>
        <w:ind w:firstLine="0"/>
        <w:jc w:val="both"/>
      </w:pPr>
      <w:r>
        <w:t xml:space="preserve">Table S4 lists the mesh, numerical integration, software and boundary-condition settings used for the disc calibration, disc validation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 and ParaView [13].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2,592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360"/>
      </w:pPr>
      <w:r>
        <w:t>S4. Sensitivity analysis</w:t>
      </w:r>
    </w:p>
    <w:p>
      <w:pPr>
        <w:pStyle w:val="BodyText"/>
        <w:spacing w:before="0" w:after="120" w:line="360" w:lineRule="auto"/>
        <w:ind w:firstLine="0"/>
        <w:jc w:val="both"/>
      </w:pPr>
      <w:r>
        <w:t xml:space="preserve">Table S5 lists the parameters varied in the Morris analysis [14], performed with SALib [15],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360" w:after="120" w:line="360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36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360" w:lineRule="auto"/>
        <w:ind w:firstLine="0"/>
        <w:jc w:val="both"/>
      </w:pPr>
      <w:r w:rsidRPr="00DA0507">
        <w:t xml:space="preserve">Optimal parameters were identified by minimizing the RMSE between predicted and literature-reported 14-day mass-loss measurements. The Bayesian optimization used a Gaussian process surrogate [16] with the expected improvement acquisition function [17], initialized with a Latin hypercube design [18]. The literature data are from Liu et al. [19].</w:t>
      </w:r>
    </w:p>
    <w:p>
      <w:pPr>
        <w:pStyle w:val="BodyText"/>
        <w:keepNext/>
        <w:spacing w:before="0" w:after="120" w:line="360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keepNext w:val="0"/>
        <w:spacing w:before="0" w:after="120" w:line="360" w:lineRule="auto"/>
        <w:ind w:firstLine="0"/>
        <w:jc w:val="both"/>
      </w:pPr>
      <w:r>
        <w:t>where n is the number of literature data points, and MassLoss_sim(t_i) and MassLoss_exp(t_i) are the simulated and literature mass loss at time t_i, respectively.</w:t>
      </w:r>
    </w:p>
    <w:p>
      <w:pPr>
        <w:pStyle w:val="BodyText"/>
        <w:spacing w:before="0" w:after="120" w:line="360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360" w:after="120" w:line="360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36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36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360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36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Initial sampling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12-point Latin hypercube design (iterations 1–12)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Acquisition function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Expected improvement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Total iterations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32 (optimum at iteration 22)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21BCA16B" w14:textId="0DBE2A2E" w:rsidR="00876655" w:rsidRDefault="00876655" w:rsidP="00876655">
      <w:pPr>
        <w:pStyle w:val="BodyText"/>
        <w:spacing w:line="360" w:lineRule="auto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360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36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360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36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36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36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36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36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36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36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p>
      <w:pPr>
        <w:pStyle w:val="Heading1"/>
      </w:pPr>
      <w:r>
        <w:t>References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[1]</w:t>
        <w:tab/>
        <w:t>C. Geuzaine, J.-F. Remacle, Int. J. Numer. Methods Eng. 2009, 79, 1309. https://doi.org/10.1002/nme.2579.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[2]</w:t>
        <w:tab/>
        <w:t>H. Si, ACM Trans. Math. Softw. 2015, 41, 11. https://doi.org/10.1145/2629697.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[3]</w:t>
        <w:tab/>
        <w:t>C. Dapogny, C. Dobrzynski, P. Frey, J. Comput. Phys. 2014, 262, 358. https://doi.org/10.1016/j.jcp.2014.01.005.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[4]</w:t>
        <w:tab/>
        <w:t>F. Hecht, J. Numer. Math. 2012, 20, 251. https://doi.org/10.1515/jnum-2012-0013.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[5]</w:t>
        <w:tab/>
        <w:t>S. Balay, S. Abhyankar, M. F. Adams, et al., PETSc/TAO Users Manual, Argonne National Laboratory, Lemont, IL, USA 2024, ANL-21/39 (Rev. 3.22). https://petsc.org.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[6]</w:t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[7]</w:t>
        <w:tab/>
        <w:t>J. A. Sethian, Proc. Natl. Acad. Sci. USA 1996, 93, 1591. https://doi.org/10.1073/pnas.93.4.1591.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[8]</w:t>
        <w:tab/>
        <w:t>S. van der Walt, J. L. Schönberger, J. Nunez-Iglesias, et al., PeerJ 2014, 2, e453. https://doi.org/10.7717/peerj.453.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[9]</w:t>
        <w:tab/>
        <w:t>M. Dawson-Haggerty, et al., trimesh, https://trimesh.org (accessed: October 2026).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[10]</w:t>
        <w:tab/>
        <w:t>N. Schlömer, et al., meshio: Tools for mesh files, https://doi.org/10.5281/zenodo.1173115.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[11]</w:t>
        <w:tab/>
        <w:t>P. Virtanen, R. Gommers, T. E. Oliphant, et al., Nat. Methods 2020, 17, 261. https://doi.org/10.1038/s41592-019-0686-2.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[12]</w:t>
        <w:tab/>
        <w:t>J. D. Hunter, Comput. Sci. Eng. 2007, 9, 90. https://doi.org/10.1109/MCSE.2007.55.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[13]</w:t>
        <w:tab/>
        <w:t>J. Ahrens, B. Geveci, C. Law, in The Visualization Handbook (Eds: C. D. Hansen, C. R. Johnson), Elsevier, Amsterdam, The Netherlands 2005, pp. 717–731.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[14]</w:t>
        <w:tab/>
        <w:t>M. D. Morris, Technometrics 1991, 33, 161. https://doi.org/10.1080/00401706.1991.10484804.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[15]</w:t>
        <w:tab/>
        <w:t>J. Herman, W. Usher, J. Open Source Softw. 2017, 2, 97. https://doi.org/10.21105/joss.00097.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[16]</w:t>
        <w:tab/>
        <w:t>C. E. Rasmussen, C. K. I. Williams, Gaussian Processes for Machine Learning, MIT Press, Cambridge, MA, USA 2006.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[17]</w:t>
        <w:tab/>
        <w:t>D. R. Jones, M. Schonlau, W. J. Welch, J. Glob. Optim. 1998, 13, 455. https://doi.org/10.1023/A:1008306431147.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[18]</w:t>
        <w:tab/>
        <w:t>M. D. McKay, R. J. Beckman, W. J. Conover, Technometrics 1979, 21, 239. https://doi.org/10.1080/00401706.1979.10489755.</w:t>
      </w:r>
    </w:p>
    <w:p>
      <w:pPr>
        <w:spacing w:after="60" w:line="240" w:lineRule="auto"/>
        <w:tabs>
          <w:tab w:val="left" w:pos="510"/>
        </w:tabs>
        <w:ind w:left="510" w:hanging="510"/>
        <w:jc w:val="left"/>
      </w:pPr>
      <w:r>
        <w:rPr>
          <w:sz w:val="20"/>
        </w:rPr>
        <w:t>[19]</w:t>
        <w:tab/>
        <w:t>L. Liu, Y. Meng, C. Dong, Y. Yan, A. A. Volinsky, L.-N. Wang, J. Mater. Sci. Technol. 2018, 34, 2271. https://doi.org/10.1016/j.jmst.2018.05.005.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