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val="0"/>
                <w:color w:val="000000"/>
                <w:sz w:val="20"/>
              </w:rPr>
              <w:t>We agree that oxygen-reduction-limited dissolution is a model assumption (Eqs. 1–2), so the Morris ranking alone cannot show that oxygen controls degradation. We now state oxygen control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and the limitations section states this.</w:t>
            </w:r>
          </w:p>
        </w:tc>
        <w:tc>
          <w:tcPr>
            <w:tcW w:w="1587" w:type="dxa"/>
          </w:tcPr>
          <w:p w14:paraId="64144BC5" w14:textId="77777777" w:rsidR="003F785C" w:rsidRDefault="00E9439A">
            <w:r>
              <w:rPr>
                <w:i w:val="0"/>
                <w:color w:val="000000"/>
                <w:sz w:val="20"/>
              </w:rPr>
              <w:t>Addressed</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val="0"/>
                <w:color w:val="000000"/>
                <w:sz w:val="20"/>
              </w:rPr>
              <w:t>The full stent geometry is given in the Supplementary Information: Table S4 lists the outer diameter (3.20 mm), strut cross-section (0.15 × 0.15 mm), crown amplitude (1.00 mm), axial length (2.40 mm), surface area, volume and SA/V, together with the mesh and numerical settings, and Fig. S4 shows the geometry and computational domain. We clarify that the stent is a representative six-crown design, not a replica of the stent in the in vivo study [10]. The 6–7% in vivo figure is therefore used only as a plausibility benchmark for the predicted magnitude, not as a stent-specific validation, and the manuscript already states that it is not formal in vivo validation.</w:t>
            </w:r>
          </w:p>
        </w:tc>
        <w:tc>
          <w:tcPr>
            <w:tcW w:w="1587" w:type="dxa"/>
          </w:tcPr>
          <w:p w14:paraId="2CD261BC" w14:textId="77777777" w:rsidR="003F785C" w:rsidRDefault="00E9439A">
            <w:r>
              <w:rPr>
                <w:i w:val="0"/>
                <w:color w:val="000000"/>
                <w:sz w:val="20"/>
              </w:rPr>
              <w:t>Addressed</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