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gives O₂ consumed of ~1/32 (24 h) and ~1/24 (168 h) of the stoichiometric need, i.e. about 1/M_O₂ (M_O₂ = 32 g mol⁻¹), because the solver omitted the 1/M_O₂ factor. Eqs. 15–16 now include M_O₂ explicitly, so recession is not stoichiometrically coupled to O₂ consumption in the present formulation.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The Results and captions use “corrosion product”.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The deceleration has two contributors: O₂ depletion and corrosion-product accumulation. Setting D_eff = D raises 672 h mass loss from 0.333% to 0.744% (k_f = 0: 0.730%).</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model domain is 30 × 30 × 30 mm for disc and stent (Methods, Table S4), with O₂ supplied at the electrolyte–air interface. C_O₂ is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Model output is saved hourly, so the Damköhler transition is resolved at ~40 h (disc) and ~100 h (stent). It is a model prediction, as the first measurement is at 24 h.</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is expected: after the initial sampling, the guided search concentrated around the best region, so many evaluations lie close together (seven within 0.042–0.049%, spanning k_f 12–58, k_d 15–62, k_ORR 0.25–0.7).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(Table 2,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regenerated during corrosion-product breakdown and is in large excess (142.3 mmol L⁻¹; consumption ≤6% disc, &lt;1% stent), so its net consumption is negligible.</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Calibration is tractable (0.8M-element mesh, ~2 h per run; Table S4). The high-fidelity simulations (18.9M elements)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3ED3E71A" w14:textId="77777777" w:rsidR="003F785C" w:rsidRDefault="00E9439A">
      <w:pPr>
        <w:pStyle w:val="Heading1"/>
      </w:pPr>
      <w:r>
        <w:t>D. Second reviewer report</w:t>
      </w:r>
    </w:p>
    <w:p w14:paraId="482B3CC3" w14:textId="77777777" w:rsidR="003F785C" w:rsidRDefault="00E9439A">
      <w:pPr>
        <w:pStyle w:val="Heading2"/>
      </w:pPr>
      <w:r>
        <w:t>D1. Major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Show that Zn recession, Zn²⁺ release, O₂ consumption, OH⁻ generation and corrosion product are mass/charge-consistent; report global balances at 24, 168, 672 h.</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Zn²⁺ and OH⁻ sources (Eqs. 7, 9, 10) use the ORR term, while recession uses the selected velocity (Eq. 17), so the two are not forced to be identical. O₂ consumed is ~1/32 (24 h) and ~1/24 (168 h) of the stoichiometric need (A1.4). A Zn balance (Zn removed by recession vs dissolved Zn + Zn in corrosion product + residual) will be computed from the stored fields and given in the SI. [authors to supply balance values]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Sign convention of min() in Eq. 17.</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Velocities are negative (recession) in the solver, and the selected value is the one with the smallest magnitude, i.e. the slowest process. Eq. 17 will be rewritten with magnitudes, v_rec = min(|v_Zn|, |v_ORR|, |v_O₂|), with the normal direction defined into the electrolyte. Representative values of the three velocities will be given in the SI.</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Justify the hard minimum; compare coupled-flux, series-resistance, hard-minimum and no-cap rules.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v_ORR uses the interfacial O₂ concentration of the discrete field, and v_O₂ limits recession to the O₂ flux available at the interface, so the minimum is a flux-limiter, not a sum of independent serial steps. Rules B and C (blended) and D (no cap) are compared in Table S1; Rule A was chosen on physical grounds and RMSE was not the main criterion. A fully coupled kinetic-flux boundary condition would require re-implementation and is left for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Calibration used a mesh with 26.2% error (0.8M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Calibration used the 0.8M-element mesh, with the simulated mass loss divided by 1.355846 to correct it to the fine-mesh basis (Section S2): the 7-day value 0.2029% becomes 0.1497%, versus 0.1611% on the 18.9M-element mesh. The optimum was then run on the 18.9M-element mesh for validation, so the reported parameters are fine-mesh parameters. The 0.8M and 18.9M curves of the optimum are to be shown in the SI. [authors to supply curves]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Morris ranges differ from calibration ranges; k_f optimum lies outside.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GSA was a screening step done before calibration, so its ranges differ from the calibration space; this is stated in the Table S5 caption. The ranking is led by C_O₂ and k_ORR (μ* about 1.09 and 0.65), well above the k_f and k_d values, and the three calibrated parameters were then calibrated over their own search ranges (Table 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Bayesian optimization is not Bayesian calibration; report GP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text will say 'Gaussian-process-assisted Bayesian optimization' for the parameter search and 'parameter-propagated ensemble interval' for the bands. Settings (GP surrogate, 12-point LHS, expected improvement, seed 1, deterministic objective) are in Table S10 and the 32 evaluations are in the source data (Fig. 3b). [authors to supply: kernel, hyperparameters, normalization, stopping rule, LOO error]</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Parameter identifiability is not established.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k_ORR is the best constrained parameter; among the seven fits within 0.05% RMSE, k_f and k_ORR are correlated (Spearman 0.93) and k_d is weakly constrained (Fig. 3b, Supplementary Fig. 5b). Section S6 propagates 50 parameter sets: 672 h mass loss varies by only 0.330–0.338% (50% interval). Spatial predictions across near-equivalent sets have not been run and are stated as a limitation. [authors: run if feasible]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Interpretation of the corrosion-product law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Eq. 11 is a lumped phenomenological law for net corrosion-product accumulation, not a precipitation-thermodynamics model. F is a mass concentration (g mm⁻³) with F_max = ρ_film(1−ε); the Langmuir factor limits growth to F_max; the product field is fixed in the Eulerian mesh and not attached to the interface. OH⁻ is solved for the interfacial chemistry and pH output only. F/F_max is a normalized corrosion-product saturation, not surface coverage. [authors to confirm: non-negativity treatment]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Experimental weighing and cleaning quality control.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Balance resolution 0.1 mg (limit of detection about 0.01% of a 1.1 g disc). Cleaning: 200 g L⁻¹ chromic acid, room temperature, 10 min, ISO 8407:2009, same protocol for all samples; no blank controls were run (stated as a limitation). The 14 d vs 28 d masses are not distinguishable (p ≈ 0.5), so no plateau is claimed. [authors to supply: balance model, drying, repeat weighings, independent specimens per time point]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Separate calibration, independent validation and out-of-objective comparisons.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Only the 28-day HBSS mass-loss trajectory is independent validation. Zn²⁺ and pH are out-of-objective comparisons with the calibration publication, as stated in the Results. ICP, pH monitoring, composition and film-thickness measurements were not performed in this study and are listed as limitations.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Oxygen boundary condition vs the 48 h refreshed experiment; liquid height and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refresh is not modelled (u = 0, O₂ resupplied at the air interface). A fixed boundary O₂ increased the 672 h mass loss by ~30% (A3.1). The domain is 30 × 30 × 30 mm (27 mL) for disc and stent, while 20 mL cm⁻² of the 2.2 cm² disc area is about 44 mL; this difference is acknowledged. The four boundary-condition comparisons and the specimen-to-surface distance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Neglecting electromigration.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Transport is diffusion-only, as an approximation: the electrolyte contains a large excess of background ions (about 142 mmol L⁻¹ Cl⁻) compared with Zn²⁺ (below about 1 mmol L⁻¹), so migration of the minor species is screened and small. This will be stated as a modelling approximation in the Methods; an electroneutral Nernst–Planck formulation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Eq. 14 and [Zn]_sat.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14 is the Stefan condition for a dissolving interface, with [Zn]_sat the Zn²⁺ concentration at the interface (10 mg L⁻¹, Chen et al. [38]). It is not a ZnO/Zn(OH)₂ solubility or precipitation threshold (B1.2). Sensitivity to this parameter has not been run.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Dimensions and stoichiometry of Eqs. 15–16.</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Eqs. 15–16 now include M_O₂ explicitly (A1.1); [Zn]_sol is the solid molar density of Zn, so M_Zn is not needed. The factor 2 follows from O₂ + 2Zn + 2H₂O → 2Zn²⁺ + 4OH⁻. A step-by-step dimensional derivation will be added to the SI. [authors to write derivation]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Damköhler number and how the 40 h / 100 h transition is defined.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Da is the ratio of interfacial O₂ consumption to O₂ diffusive supply. The transition time is when the O₂-diffusion-limited share of the interface exceeds 99%: 25% at 16 h (Da ≈ 1.0), 51% at 28 h and 99.5% at 40 h for the disc (source data, Fig. 5). The interface fraction per regime will be shown in the SI. Threshold sensitivity is not yet quantified.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Stent prediction is not an in vivo validation; add a baseline.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Abstract and Conclusions say 'same order of magnitude', the Results and Limitations say 'predictive demonstration rather than formal validation'. The SA:V baseline is 12.8% vs the model's 6.0% (A6.1), and the added value is the spatial distribution (A6.2).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Separate SA/V from transport effects.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Mean penetration depth is 1.1 µm for the stent and 2.4 µm for the disc; local maximum penetration is 8.55 µm at the crown (Fig. 7d). The SA:V-scaled baseline (12.8%) vs model (6.0%) is given in A6.1. Remaining cross-section and area-normalized mass loss will be added if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pH is not mechanistic (no buffer).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Agreed: the pH output is an OH⁻-derived apparent pH in an unbuffered approximation and is interpreted qualitatively (A4.7). The Results will say so. Adding a buffer model is future work.</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Improve statistics for the validation (5 points, R²).</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Absolute errors are 0.004–0.022 percentage points (mean absolute error 0.014), all within 0.35 SD of the mean (Table S11), and the RMSE is 8.6% of the mean measured mass loss. The text will describe the result as 'consistent with the measured trajectory within experimental scatter'. Weighted RMSE, confidence intervals and a residual plot can be added from the replicate data in the source data.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Title and claims vs validation level.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title is retained. The Limitations state that validation is for one disc dataset and that the stent is a geometry-transfer demonstration.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21E5F41B" w14:textId="77777777" w:rsidR="003F785C" w:rsidRDefault="003F785C">
      <w:pPr>
        <w:spacing w:after="40"/>
      </w:pPr>
    </w:p>
    <w:p w14:paraId="482B3CC3" w14:textId="77777777" w:rsidR="003F785C" w:rsidRDefault="00E9439A">
      <w:pPr>
        <w:pStyle w:val="Heading2"/>
      </w:pPr>
      <w:r>
        <w:t>D2. Minor comments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m1</w:t>
            </w:r>
          </w:p>
        </w:tc>
        <w:tc>
          <w:tcPr>
            <w:tcW w:w="3402" w:type="dxa"/>
          </w:tcPr>
          <w:p w14:paraId="56ED496D" w14:textId="77777777" w:rsidR="003F785C" w:rsidRDefault="00E9439A">
            <w:r>
              <w:rPr>
                <w:sz w:val="20"/>
              </w:rPr>
              <w:t>FreeFEM vs FreeFEM++ naming; give version in Methods.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Will use 'FreeFEM' consistently and give v4.14 in the Methods.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w:t>
            </w:r>
          </w:p>
        </w:tc>
        <w:tc>
          <w:tcPr>
            <w:tcW w:w="3402" w:type="dxa"/>
          </w:tcPr>
          <w:p w14:paraId="56ED496D" w14:textId="77777777" w:rsidR="003F785C" w:rsidRDefault="00E9439A">
            <w:r>
              <w:rPr>
                <w:sz w:val="20"/>
              </w:rPr>
              <w:t>Delta-function implementation.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δ_Γ is a sharp surface integral over the zero level set (FreeFEM int2d, levelset option) with no smoothing parameter (B1.6).</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w:t>
            </w:r>
          </w:p>
        </w:tc>
        <w:tc>
          <w:tcPr>
            <w:tcW w:w="3402" w:type="dxa"/>
          </w:tcPr>
          <w:p w14:paraId="56ED496D" w14:textId="77777777" w:rsidR="003F785C" w:rsidRDefault="00E9439A">
            <w:r>
              <w:rPr>
                <w:sz w:val="20"/>
              </w:rPr>
              <w:t>Time-step convergence.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run. Δt = 0.25 h; runs at 0.5 and 0.125 h are needed.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w:t>
            </w:r>
          </w:p>
        </w:tc>
        <w:tc>
          <w:tcPr>
            <w:tcW w:w="3402" w:type="dxa"/>
          </w:tcPr>
          <w:p w14:paraId="56ED496D" w14:textId="77777777" w:rsidR="003F785C" w:rsidRDefault="00E9439A">
            <w:r>
              <w:rPr>
                <w:sz w:val="20"/>
              </w:rPr>
              <w:t>Level-set volume error from reinitialization.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m5</w:t>
            </w:r>
          </w:p>
        </w:tc>
        <w:tc>
          <w:tcPr>
            <w:tcW w:w="3402" w:type="dxa"/>
          </w:tcPr>
          <w:p w14:paraId="56ED496D" w14:textId="77777777" w:rsidR="003F785C" w:rsidRDefault="00E9439A">
            <w:r>
              <w:rPr>
                <w:sz w:val="20"/>
              </w:rPr>
              <w:t>Remeshing / mesh motion.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mesh is generated once (refined around the initial interface) and is not regenerated or moved during the run; the level set evolves on the fixed mesh, so no field projection is needed.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m6</w:t>
            </w:r>
          </w:p>
        </w:tc>
        <w:tc>
          <w:tcPr>
            <w:tcW w:w="3402" w:type="dxa"/>
          </w:tcPr>
          <w:p w14:paraId="56ED496D" w14:textId="77777777" w:rsidR="003F785C" w:rsidRDefault="00E9439A">
            <w:r>
              <w:rPr>
                <w:sz w:val="20"/>
              </w:rPr>
              <w:t>Mesh claims: calibration mesh is not converged.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will state that the &lt;0.2% change applies to the 18.9M-element mesh and that calibration used a 0.8M-element mesh with the mass loss divided by 1.355846 to the fine-mesh basis (Section S2).</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m7</w:t>
            </w:r>
          </w:p>
        </w:tc>
        <w:tc>
          <w:tcPr>
            <w:tcW w:w="3402" w:type="dxa"/>
          </w:tcPr>
          <w:p w14:paraId="56ED496D" w14:textId="77777777" w:rsidR="003F785C" w:rsidRDefault="00E9439A">
            <w:r>
              <w:rPr>
                <w:sz w:val="20"/>
              </w:rPr>
              <w:t>Define 'film coverage'.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F/F_max is called normalized corrosion-product saturation throughout.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m8</w:t>
            </w:r>
          </w:p>
        </w:tc>
        <w:tc>
          <w:tcPr>
            <w:tcW w:w="3402" w:type="dxa"/>
          </w:tcPr>
          <w:p w14:paraId="56ED496D" w14:textId="77777777" w:rsidR="003F785C" w:rsidRDefault="00E9439A">
            <w:r>
              <w:rPr>
                <w:sz w:val="20"/>
              </w:rPr>
              <w:t>Morris results: give numerical values and variability.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Table S5 caption states the ranges. A table of μ*, μ and σ with trajectory intervals can be added to the SI from the Morris output.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m9</w:t>
            </w:r>
          </w:p>
        </w:tc>
        <w:tc>
          <w:tcPr>
            <w:tcW w:w="3402" w:type="dxa"/>
          </w:tcPr>
          <w:p w14:paraId="56ED496D" w14:textId="77777777" w:rsidR="003F785C" w:rsidRDefault="00E9439A">
            <w:r>
              <w:rPr>
                <w:sz w:val="20"/>
              </w:rPr>
              <w:t>Explain the O₂ range in the Morris analysis.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10⁻⁹–10⁻⁷ g mm⁻³ equals 1–100 mg L⁻¹, i.e. a broad exploratory range around the 3.5 mg L⁻¹ baseline (air-saturated saline is about 6–7 mg L⁻¹). A narrower physiological range will be stated in the SI.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m10</w:t>
            </w:r>
          </w:p>
        </w:tc>
        <w:tc>
          <w:tcPr>
            <w:tcW w:w="3402" w:type="dxa"/>
          </w:tcPr>
          <w:p w14:paraId="56ED496D" w14:textId="77777777" w:rsidR="003F785C" w:rsidRDefault="00E9439A">
            <w:r>
              <w:rPr>
                <w:sz w:val="20"/>
              </w:rPr>
              <w:t>Two uses of 'saturation'.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[Zn]_sat will be described as the interfacial Zn²⁺ concentration of the Stefan condition, and F/F_max as normalized corrosion-product saturation.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m11</w:t>
            </w:r>
          </w:p>
        </w:tc>
        <w:tc>
          <w:tcPr>
            <w:tcW w:w="3402" w:type="dxa"/>
          </w:tcPr>
          <w:p w14:paraId="56ED496D" w14:textId="77777777" w:rsidR="003F785C" w:rsidRDefault="00E9439A">
            <w:r>
              <w:rPr>
                <w:sz w:val="20"/>
              </w:rPr>
              <w:t>Value, units and derivation of F_max.</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F_max = ρ_film(1−ε) = 5.606 g cm⁻³ × (1 − 0.25) = 4.2045 × 10⁻³ g mm⁻³ (mass basis).</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m12</w:t>
            </w:r>
          </w:p>
        </w:tc>
        <w:tc>
          <w:tcPr>
            <w:tcW w:w="3402" w:type="dxa"/>
          </w:tcPr>
          <w:p w14:paraId="56ED496D" w14:textId="77777777" w:rsidR="003F785C" w:rsidRDefault="00E9439A">
            <w:r>
              <w:rPr>
                <w:sz w:val="20"/>
              </w:rPr>
              <w:t>Confirm all disc surfaces were exposed.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area 219.9 mm² includes both faces and the edge. [authors to confirm that no surface was masked by a holder]</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m13</w:t>
            </w:r>
          </w:p>
        </w:tc>
        <w:tc>
          <w:tcPr>
            <w:tcW w:w="3402" w:type="dxa"/>
          </w:tcPr>
          <w:p w14:paraId="56ED496D" w14:textId="77777777" w:rsidR="003F785C" w:rsidRDefault="00E9439A">
            <w:r>
              <w:rPr>
                <w:sz w:val="20"/>
              </w:rPr>
              <w:t>Initial mass per time point.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initial masses]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m14</w:t>
            </w:r>
          </w:p>
        </w:tc>
        <w:tc>
          <w:tcPr>
            <w:tcW w:w="3402" w:type="dxa"/>
          </w:tcPr>
          <w:p w14:paraId="56ED496D" w14:textId="77777777" w:rsidR="003F785C" w:rsidRDefault="00E9439A">
            <w:r>
              <w:rPr>
                <w:sz w:val="20"/>
              </w:rPr>
              <w:t>Actual HBSS volume.</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20 mL cm⁻² × 2.199 cm² is about 44 mL per disc.</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m15</w:t>
            </w:r>
          </w:p>
        </w:tc>
        <w:tc>
          <w:tcPr>
            <w:tcW w:w="3402" w:type="dxa"/>
          </w:tcPr>
          <w:p w14:paraId="56ED496D" w14:textId="77777777" w:rsidR="003F785C" w:rsidRDefault="00E9439A">
            <w:r>
              <w:rPr>
                <w:sz w:val="20"/>
              </w:rPr>
              <w:t>Medium refresh: same or new container.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m16</w:t>
            </w:r>
          </w:p>
        </w:tc>
        <w:tc>
          <w:tcPr>
            <w:tcW w:w="3402" w:type="dxa"/>
          </w:tcPr>
          <w:p w14:paraId="56ED496D" w14:textId="77777777" w:rsidR="003F785C" w:rsidRDefault="00E9439A">
            <w:r>
              <w:rPr>
                <w:sz w:val="20"/>
              </w:rPr>
              <w:t>Pre-cleaning mass / retained corrosion product.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Pre-cleaning masses were recorded but are not reported; a comparison with the predicted corrosion-product mass is future work.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m17</w:t>
            </w:r>
          </w:p>
        </w:tc>
        <w:tc>
          <w:tcPr>
            <w:tcW w:w="3402" w:type="dxa"/>
          </w:tcPr>
          <w:p w14:paraId="56ED496D" w14:textId="77777777" w:rsidR="003F785C" w:rsidRDefault="00E9439A">
            <w:r>
              <w:rPr>
                <w:sz w:val="20"/>
              </w:rPr>
              <w:t>pH measured during immersion?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state whether pH was monitored]</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m18</w:t>
            </w:r>
          </w:p>
        </w:tc>
        <w:tc>
          <w:tcPr>
            <w:tcW w:w="3402" w:type="dxa"/>
          </w:tcPr>
          <w:p w14:paraId="56ED496D" w14:textId="77777777" w:rsidR="003F785C" w:rsidRDefault="00E9439A">
            <w:r>
              <w:rPr>
                <w:sz w:val="20"/>
              </w:rPr>
              <w:t>Do not present ZnO as the sole film.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model is described as a homogenized ZnO-equivalent corrosion-product representation (A4.2).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m19</w:t>
            </w:r>
          </w:p>
        </w:tc>
        <w:tc>
          <w:tcPr>
            <w:tcW w:w="3402" w:type="dxa"/>
          </w:tcPr>
          <w:p w14:paraId="56ED496D" w14:textId="77777777" w:rsidR="003F785C" w:rsidRDefault="00E9439A">
            <w:r>
              <w:rPr>
                <w:sz w:val="20"/>
              </w:rPr>
              <w:t>Why chloride exponent 2 was fixed.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exponent is an effective order that was fixed and not calibrated or tested in the sensitivity analysis; k_d absorbs its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m20</w:t>
            </w:r>
          </w:p>
        </w:tc>
        <w:tc>
          <w:tcPr>
            <w:tcW w:w="3402" w:type="dxa"/>
          </w:tcPr>
          <w:p w14:paraId="56ED496D" w14:textId="77777777" w:rsidR="003F785C" w:rsidRDefault="00E9439A">
            <w:r>
              <w:rPr>
                <w:sz w:val="20"/>
              </w:rPr>
              <w:t>Is chloride truly catalytic? Eq. 8 vs Eq. 11.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Eq. 8 has no source or sink because Cl⁻ is regenerated during dissolution and is in large excess (B1.4); net consumption is ≤6% (disc) and &lt;1% (stent).</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m21</w:t>
            </w:r>
          </w:p>
        </w:tc>
        <w:tc>
          <w:tcPr>
            <w:tcW w:w="3402" w:type="dxa"/>
          </w:tcPr>
          <w:p w14:paraId="56ED496D" w14:textId="77777777" w:rsidR="003F785C" w:rsidRDefault="00E9439A">
            <w:r>
              <w:rPr>
                <w:sz w:val="20"/>
              </w:rPr>
              <w:t>Grammar examples.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Corrected: 'while increasing k_d', 'for k_ORR, where increasing…', and lowercase 'where' after Eq. 15.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m22</w:t>
            </w:r>
          </w:p>
        </w:tc>
        <w:tc>
          <w:tcPr>
            <w:tcW w:w="3402" w:type="dxa"/>
          </w:tcPr>
          <w:p w14:paraId="56ED496D" w14:textId="77777777" w:rsidR="003F785C" w:rsidRDefault="00E9439A">
            <w:r>
              <w:rPr>
                <w:sz w:val="20"/>
              </w:rPr>
              <w:t>Film / layer / region terminology.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text uses 'corrosion-product field' for the numerical representation (A2.3).</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m23</w:t>
            </w:r>
          </w:p>
        </w:tc>
        <w:tc>
          <w:tcPr>
            <w:tcW w:w="3402" w:type="dxa"/>
          </w:tcPr>
          <w:p w14:paraId="56ED496D" w14:textId="77777777" w:rsidR="003F785C" w:rsidRDefault="00E9439A">
            <w:r>
              <w:rPr>
                <w:sz w:val="20"/>
              </w:rPr>
              <w:t>Domain-size study (20, 30, 40 mm).</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closed-box domain dependence is removed with a fixed boundary O₂ (A3.1). Results for 20/30/40 mm are to be added to the SI.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m24</w:t>
            </w:r>
          </w:p>
        </w:tc>
        <w:tc>
          <w:tcPr>
            <w:tcW w:w="3402" w:type="dxa"/>
          </w:tcPr>
          <w:p w14:paraId="56ED496D" w14:textId="77777777" w:rsidR="003F785C" w:rsidRDefault="00E9439A">
            <w:r>
              <w:rPr>
                <w:sz w:val="20"/>
              </w:rPr>
              <w:t>Specify the top boundary.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top face is the electrolyte–air interface with Dirichlet C_O₂ = 3.5 mg L⁻¹ (Table S4); container walls are no-flux. Specimen position and distance to the interface are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m25</w:t>
            </w:r>
          </w:p>
        </w:tc>
        <w:tc>
          <w:tcPr>
            <w:tcW w:w="3402" w:type="dxa"/>
          </w:tcPr>
          <w:p w14:paraId="56ED496D" w14:textId="77777777" w:rsidR="003F785C" w:rsidRDefault="00E9439A">
            <w:r>
              <w:rPr>
                <w:sz w:val="20"/>
              </w:rPr>
              <w:t>Define reaction-controlled fraction.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Each interface point is classified by which velocity is selected (O₂-diffusion cap vs reaction), and the fraction is area-weighted.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m26</w:t>
            </w:r>
          </w:p>
        </w:tc>
        <w:tc>
          <w:tcPr>
            <w:tcW w:w="3402" w:type="dxa"/>
          </w:tcPr>
          <w:p w14:paraId="56ED496D" w14:textId="77777777" w:rsidR="003F785C" w:rsidRDefault="00E9439A">
            <w:r>
              <w:rPr>
                <w:sz w:val="20"/>
              </w:rPr>
              <w:t>Uncertainty of transition times.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Not yet quantified; transition times are stated as approximate.</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m27</w:t>
            </w:r>
          </w:p>
        </w:tc>
        <w:tc>
          <w:tcPr>
            <w:tcW w:w="3402" w:type="dxa"/>
          </w:tcPr>
          <w:p w14:paraId="56ED496D" w14:textId="77777777" w:rsidR="003F785C" w:rsidRDefault="00E9439A">
            <w:r>
              <w:rPr>
                <w:sz w:val="20"/>
              </w:rPr>
              <w:t>Corrosion-rate definition (Fig. 5b).</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plotted rate is from Eq. S1. Whether it is cumulative-average or instantaneous will be stated in the caption.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m28</w:t>
            </w:r>
          </w:p>
        </w:tc>
        <w:tc>
          <w:tcPr>
            <w:tcW w:w="3402" w:type="dxa"/>
          </w:tcPr>
          <w:p w14:paraId="56ED496D" w14:textId="77777777" w:rsidR="003F785C" w:rsidRDefault="00E9439A">
            <w:r>
              <w:rPr>
                <w:sz w:val="20"/>
              </w:rPr>
              <w:t>Evolving-area normalization in Eq. S1.</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 comparison with initial-area and instantaneous-recession rates is to be added.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m29</w:t>
            </w:r>
          </w:p>
        </w:tc>
        <w:tc>
          <w:tcPr>
            <w:tcW w:w="3402" w:type="dxa"/>
          </w:tcPr>
          <w:p w14:paraId="56ED496D" w14:textId="77777777" w:rsidR="003F785C" w:rsidRDefault="00E9439A">
            <w:r>
              <w:rPr>
                <w:sz w:val="20"/>
              </w:rPr>
              <w:t>State ensemble limitations in the main text.</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One sentence will be added: the bands exclude measurement, numerical, structural and boundary-condition uncertainty.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m30</w:t>
            </w:r>
          </w:p>
        </w:tc>
        <w:tc>
          <w:tcPr>
            <w:tcW w:w="3402" w:type="dxa"/>
          </w:tcPr>
          <w:p w14:paraId="56ED496D" w14:textId="77777777" w:rsidR="003F785C" w:rsidRDefault="00E9439A">
            <w:r>
              <w:rPr>
                <w:sz w:val="20"/>
              </w:rPr>
              <w:t>Four of six points in the 95% interval.</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interval is parameter-propagated only, not a predictive interval, so this is expected. The SI wording will make this explicit.</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m31</w:t>
            </w:r>
          </w:p>
        </w:tc>
        <w:tc>
          <w:tcPr>
            <w:tcW w:w="3402" w:type="dxa"/>
          </w:tcPr>
          <w:p w14:paraId="56ED496D" w14:textId="77777777" w:rsidR="003F785C" w:rsidRDefault="00E9439A">
            <w:r>
              <w:rPr>
                <w:sz w:val="20"/>
              </w:rPr>
              <w:t>'Rapid convergence' wording.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Removed: 'rapid convergence' and 'distinct optimum' are replaced by a statement that the lowest RMSE was found at iteration 22.</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m32</w:t>
            </w:r>
          </w:p>
        </w:tc>
        <w:tc>
          <w:tcPr>
            <w:tcW w:w="3402" w:type="dxa"/>
          </w:tcPr>
          <w:p w14:paraId="56ED496D" w14:textId="77777777" w:rsidR="003F785C" w:rsidRDefault="00E9439A">
            <w:r>
              <w:rPr>
                <w:sz w:val="20"/>
              </w:rPr>
              <w:t>Reproducibility files.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Zenodo record will include the source code, geometry scripts, parameter files, solver settings, calibration history and seeds. [authors to confirm contents]</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m33</w:t>
            </w:r>
          </w:p>
        </w:tc>
        <w:tc>
          <w:tcPr>
            <w:tcW w:w="3402" w:type="dxa"/>
          </w:tcPr>
          <w:p w14:paraId="56ED496D" w14:textId="77777777" w:rsidR="003F785C" w:rsidRDefault="00E9439A">
            <w:r>
              <w:rPr>
                <w:sz w:val="20"/>
              </w:rPr>
              <w:t>Hardware details.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processor, memory, nodes, interconnect]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m34</w:t>
            </w:r>
          </w:p>
        </w:tc>
        <w:tc>
          <w:tcPr>
            <w:tcW w:w="3402" w:type="dxa"/>
          </w:tcPr>
          <w:p w14:paraId="56ED496D" w14:textId="77777777" w:rsidR="003F785C" w:rsidRDefault="00E9439A">
            <w:r>
              <w:rPr>
                <w:sz w:val="20"/>
              </w:rPr>
              <w:t>Average DOF per process.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values are per scalar field (about vertices ÷ processes). The Table S4 label will say so. [authors to confirm]</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m35</w:t>
            </w:r>
          </w:p>
        </w:tc>
        <w:tc>
          <w:tcPr>
            <w:tcW w:w="3402" w:type="dxa"/>
          </w:tcPr>
          <w:p w14:paraId="56ED496D" w14:textId="77777777" w:rsidR="003F785C" w:rsidRDefault="00E9439A">
            <w:r>
              <w:rPr>
                <w:sz w:val="20"/>
              </w:rPr>
              <w:t>Solver coupling.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monolithic or sequential, iteration order, criteria]</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m36</w:t>
            </w:r>
          </w:p>
        </w:tc>
        <w:tc>
          <w:tcPr>
            <w:tcW w:w="3402" w:type="dxa"/>
          </w:tcPr>
          <w:p w14:paraId="56ED496D" w14:textId="77777777" w:rsidR="003F785C" w:rsidRDefault="00E9439A">
            <w:r>
              <w:rPr>
                <w:sz w:val="20"/>
              </w:rPr>
              <w:t>Nonlinear convergence behaviour.</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supply typical iteration counts and any time-step reductions]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m37</w:t>
            </w:r>
          </w:p>
        </w:tc>
        <w:tc>
          <w:tcPr>
            <w:tcW w:w="3402" w:type="dxa"/>
          </w:tcPr>
          <w:p w14:paraId="56ED496D" w14:textId="77777777" w:rsidR="003F785C" w:rsidRDefault="00E9439A">
            <w:r>
              <w:rPr>
                <w:sz w:val="20"/>
              </w:rPr>
              <w:t>Define the two RMSE values.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Both are RMSE of mass loss in percentage points (same formula, Eq. in SI S5).</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m38</w:t>
            </w:r>
          </w:p>
        </w:tc>
        <w:tc>
          <w:tcPr>
            <w:tcW w:w="3402" w:type="dxa"/>
          </w:tcPr>
          <w:p w14:paraId="56ED496D" w14:textId="77777777" w:rsidR="003F785C" w:rsidRDefault="00E9439A">
            <w:r>
              <w:rPr>
                <w:sz w:val="20"/>
              </w:rPr>
              <w:t>Percentage ambiguity.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Errors are in percentage points; the labels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m39</w:t>
            </w:r>
          </w:p>
        </w:tc>
        <w:tc>
          <w:tcPr>
            <w:tcW w:w="3402" w:type="dxa"/>
          </w:tcPr>
          <w:p w14:paraId="56ED496D" w14:textId="77777777" w:rsidR="003F785C" w:rsidRDefault="00E9439A">
            <w:r>
              <w:rPr>
                <w:sz w:val="20"/>
              </w:rPr>
              <w:t>Show individual data points.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three replicates per time point are in the source data (Fig. 5a,b); a figure with individual points can be added.</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m40</w:t>
            </w:r>
          </w:p>
        </w:tc>
        <w:tc>
          <w:tcPr>
            <w:tcW w:w="3402" w:type="dxa"/>
          </w:tcPr>
          <w:p w14:paraId="56ED496D" w14:textId="77777777" w:rsidR="003F785C" w:rsidRDefault="00E9439A">
            <w:r>
              <w:rPr>
                <w:sz w:val="20"/>
              </w:rPr>
              <w:t>Label validated vs literature comparisons in Fig. 5.</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Panels a–b are independent validation; panels e–f are out-of-objective literature comparisons. The caption will say so.</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m41</w:t>
            </w:r>
          </w:p>
        </w:tc>
        <w:tc>
          <w:tcPr>
            <w:tcW w:w="3402" w:type="dxa"/>
          </w:tcPr>
          <w:p w14:paraId="56ED496D" w14:textId="77777777" w:rsidR="003F785C" w:rsidRDefault="00E9439A">
            <w:r>
              <w:rPr>
                <w:sz w:val="20"/>
              </w:rPr>
              <w:t>Scale bars and colour limits.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update figures]</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m42</w:t>
            </w:r>
          </w:p>
        </w:tc>
        <w:tc>
          <w:tcPr>
            <w:tcW w:w="3402" w:type="dxa"/>
          </w:tcPr>
          <w:p w14:paraId="56ED496D" w14:textId="77777777" w:rsidR="003F785C" w:rsidRDefault="00E9439A">
            <w:r>
              <w:rPr>
                <w:sz w:val="20"/>
              </w:rPr>
              <w:t>How penetration depth is extracted.</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[authors to describe the extraction from the level set]</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m43</w:t>
            </w:r>
          </w:p>
        </w:tc>
        <w:tc>
          <w:tcPr>
            <w:tcW w:w="3402" w:type="dxa"/>
          </w:tcPr>
          <w:p w14:paraId="56ED496D" w14:textId="77777777" w:rsidR="003F785C" w:rsidRDefault="00E9439A">
            <w:r>
              <w:rPr>
                <w:sz w:val="20"/>
              </w:rPr>
              <w:t>Report numerator and denominator of ratios.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150° arc: outer 3.72 µm and inner 0.28 µm (13.2×); stent crown: 8.55 and 4.76 µm (1.8×) (B4.3). The values will be added to the Fig. 8d caption.</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m44</w:t>
            </w:r>
          </w:p>
        </w:tc>
        <w:tc>
          <w:tcPr>
            <w:tcW w:w="3402" w:type="dxa"/>
          </w:tcPr>
          <w:p w14:paraId="56ED496D" w14:textId="77777777" w:rsidR="003F785C" w:rsidRDefault="00E9439A">
            <w:r>
              <w:rPr>
                <w:sz w:val="20"/>
              </w:rPr>
              <w:t>Resolution of µm penetration with 5 µm elements.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interface is a sub-element zero contour of a P1 function, and the conclusions use integrated quantities and outer/inner differences of several µm (B2.2). A local-penetration convergence run with a finer mesh is needed to confirm differences below about 1 µm. [authors to supply]</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m45</w:t>
            </w:r>
          </w:p>
        </w:tc>
        <w:tc>
          <w:tcPr>
            <w:tcW w:w="3402" w:type="dxa"/>
          </w:tcPr>
          <w:p w14:paraId="56ED496D" w14:textId="77777777" w:rsidR="003F785C" w:rsidRDefault="00E9439A">
            <w:r>
              <w:rPr>
                <w:sz w:val="20"/>
              </w:rPr>
              <w:t>Local penetration convergence study.</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As m44: not yet run.</w:t>
            </w:r>
            <w:proofErr w:type="spellStart"/>
            <w:proofErr w:type="spellEnd"/>
            <w:proofErr w:type="gramStart"/>
            <w:proofErr w:type="gramEnd"/>
          </w:p>
        </w:tc>
        <w:tc>
          <w:tcPr>
            <w:tcW w:w="1587" w:type="dxa"/>
          </w:tcPr>
          <w:p w14:paraId="327460E0" w14:textId="77777777" w:rsidR="003F785C" w:rsidRDefault="00E9439A">
            <w:r>
              <w:rPr>
                <w:color w:val="000000"/>
                <w:sz w:val="20"/>
              </w:rPr>
              <w:t>Open</w:t>
            </w:r>
          </w:p>
        </w:tc>
      </w:tr>
      <w:tr w:rsidR="003F785C" w14:paraId="35B537E2" w14:textId="77777777">
        <w:trPr>
          <w:jc w:val="center"/>
        </w:trPr>
        <w:tc>
          <w:tcPr>
            <w:tcW w:w="737" w:type="dxa"/>
          </w:tcPr>
          <w:p w14:paraId="0D2B7327" w14:textId="77777777" w:rsidR="003F785C" w:rsidRDefault="00E9439A">
            <w:r>
              <w:rPr>
                <w:sz w:val="20"/>
              </w:rPr>
              <w:t>m46</w:t>
            </w:r>
          </w:p>
        </w:tc>
        <w:tc>
          <w:tcPr>
            <w:tcW w:w="3402" w:type="dxa"/>
          </w:tcPr>
          <w:p w14:paraId="56ED496D" w14:textId="77777777" w:rsidR="003F785C" w:rsidRDefault="00E9439A">
            <w:r>
              <w:rPr>
                <w:sz w:val="20"/>
              </w:rPr>
              <w:t>Describe the stent as an idealized ring.</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geometry is a single-ring, six-crown idealized stent (Fig. S3c); the text will say 'idealized six-crown stent ring'.</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m47</w:t>
            </w:r>
          </w:p>
        </w:tc>
        <w:tc>
          <w:tcPr>
            <w:tcW w:w="3402" w:type="dxa"/>
          </w:tcPr>
          <w:p w14:paraId="56ED496D" w14:textId="77777777" w:rsidR="003F785C" w:rsidRDefault="00E9439A">
            <w:r>
              <w:rPr>
                <w:sz w:val="20"/>
              </w:rPr>
              <w:t>Do not imply mechanical failure results.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No mechanical analysis is performed; statements on thinning and failure are hypotheses and will be worded accordingly.</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r w:rsidR="003F785C" w14:paraId="35B537E2" w14:textId="77777777">
        <w:trPr>
          <w:jc w:val="center"/>
        </w:trPr>
        <w:tc>
          <w:tcPr>
            <w:tcW w:w="737" w:type="dxa"/>
          </w:tcPr>
          <w:p w14:paraId="0D2B7327" w14:textId="77777777" w:rsidR="003F785C" w:rsidRDefault="00E9439A">
            <w:r>
              <w:rPr>
                <w:sz w:val="20"/>
              </w:rPr>
              <w:t>m48</w:t>
            </w:r>
          </w:p>
        </w:tc>
        <w:tc>
          <w:tcPr>
            <w:tcW w:w="3402" w:type="dxa"/>
          </w:tcPr>
          <w:p w14:paraId="56ED496D" w14:textId="77777777" w:rsidR="003F785C" w:rsidRDefault="00E9439A">
            <w:r>
              <w:rPr>
                <w:sz w:val="20"/>
              </w:rPr>
              <w:t>Abstract: stent result is a geometry-transfer demonstration.</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The Abstract states 'same order of magnitude as reported in vivo observations'; the Limitations state it is a demonstration, not formal validation.</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m49</w:t>
            </w:r>
          </w:p>
        </w:tc>
        <w:tc>
          <w:tcPr>
            <w:tcW w:w="3402" w:type="dxa"/>
          </w:tcPr>
          <w:p w14:paraId="56ED496D" w14:textId="77777777" w:rsidR="003F785C" w:rsidRDefault="00E9439A">
            <w:r>
              <w:rPr>
                <w:sz w:val="20"/>
              </w:rPr>
              <w:t>Final sentence of the Conclusions.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Changed from 'enabling' to 'which could enable'.</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r w:rsidR="003F785C" w14:paraId="35B537E2" w14:textId="77777777">
        <w:trPr>
          <w:jc w:val="center"/>
        </w:trPr>
        <w:tc>
          <w:tcPr>
            <w:tcW w:w="737" w:type="dxa"/>
          </w:tcPr>
          <w:p w14:paraId="0D2B7327" w14:textId="77777777" w:rsidR="003F785C" w:rsidRDefault="00E9439A">
            <w:r>
              <w:rPr>
                <w:sz w:val="20"/>
              </w:rPr>
              <w:t>m50</w:t>
            </w:r>
          </w:p>
        </w:tc>
        <w:tc>
          <w:tcPr>
            <w:tcW w:w="3402" w:type="dxa"/>
          </w:tcPr>
          <w:p w14:paraId="56ED496D" w14:textId="77777777" w:rsidR="003F785C" w:rsidRDefault="00E9439A">
            <w:r>
              <w:rPr>
                <w:sz w:val="20"/>
              </w:rPr>
              <w:t>Reference and formatting checks.</w:t>
            </w:r>
            <w:proofErr w:type="spellStart"/>
            <w:r>
              <w:rPr>
                <w:sz w:val="20"/>
              </w:rPr>
            </w:r>
            <w:proofErr w:type="spellEnd"/>
            <w:r>
              <w:rPr>
                <w:sz w:val="20"/>
              </w:rPr>
            </w:r>
          </w:p>
        </w:tc>
        <w:tc>
          <w:tcPr>
            <w:tcW w:w="3912" w:type="dxa"/>
          </w:tcPr>
          <w:p w14:paraId="6826C585" w14:textId="77777777" w:rsidR="003F785C" w:rsidRDefault="00E9439A">
            <w:r>
              <w:rPr>
                <w:i w:val="0"/>
                <w:color w:val="000000"/>
                <w:sz w:val="20"/>
              </w:rPr>
              <w:t>References are being rechecked (volume, issue, DOI, access dates, SI numbering). [authors to complete]</w:t>
            </w:r>
            <w:proofErr w:type="spellStart"/>
            <w:proofErr w:type="spellEnd"/>
            <w:proofErr w:type="gramStart"/>
            <w:proofErr w:type="gramEnd"/>
          </w:p>
        </w:tc>
        <w:tc>
          <w:tcPr>
            <w:tcW w:w="1587" w:type="dxa"/>
          </w:tcPr>
          <w:p w14:paraId="327460E0" w14:textId="77777777" w:rsidR="003F785C" w:rsidRDefault="00E9439A">
            <w:r>
              <w:rPr>
                <w:color w:val="000000"/>
                <w:sz w:val="20"/>
              </w:rPr>
              <w:t>In progress</w:t>
            </w:r>
          </w:p>
        </w:tc>
      </w:tr>
    </w:tbl>
    <w:p w14:paraId="21E5F41B" w14:textId="77777777" w:rsidR="003F785C" w:rsidRDefault="003F785C">
      <w:pPr>
        <w:spacing w:after="40"/>
      </w:pP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