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S2–S3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S7–S9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27869662" w:rsidR="005639C1" w:rsidRDefault="007163D0">
      <w:pPr>
        <w:pStyle w:val="BodyText"/>
        <w:spacing w:after="120"/>
        <w:ind w:firstLine="0"/>
      </w:pPr>
      <w:r>
        <w:t>This section defines the quantities used to evaluate the simulations (Equations S1–S3) and documents the choice of velocity-selection rule (Rules A–D; Table S1 and Figure S1).</w:t>
      </w:r>
    </w:p>
    <w:p w14:paraId="027A5002" w14:textId="77777777" w:rsidR="001C0510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2D60D4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2D60D4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4040AA88" w:rsidR="007E2F54" w:rsidRDefault="00F67414" w:rsidP="007E2F54">
      <w:pPr>
        <w:pStyle w:val="BodyText"/>
        <w:spacing w:after="120"/>
        <w:ind w:firstLine="0"/>
        <w:rPr>
          <w:rFonts w:cs="Times New Roman"/>
        </w:rPr>
      </w:pPr>
      <w:r w:rsidRPr="00F67414">
        <w:t xml:space="preserve">Rule A (hard minimum) was selected on physical and numerical grounds, with agreement to literature data used only as a consistency check. RMSE was not the selection criterion because it depends on calibration and could be reduced for any rule through recalibration. Rule A reflects the physical assumption that the slowest rate-limiting process controls degradation, which is consistent with the simulations showing oxygen-diffusion control over &gt;99% of the interface at 672 h. Rules B and C introduce additional blending terms without improving the </w:t>
      </w:r>
      <w:r w:rsidRPr="00F67414">
        <w:lastRenderedPageBreak/>
        <w:t>governing physics, while Rule D removes the oxygen-diffusion constraint and substantially overpredicts mass loss. Finally, the hard minimum caused no significant numerical issues, with only two regime transitions occurring during the initial transient.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r w:rsidRPr="0021293D">
        <w:rPr>
          <w:sz w:val="20"/>
          <w:szCs w:val="20"/>
        </w:rPr>
        <w:t>​), oxygen reduction-limited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</w:t>
      </w:r>
      <w:r>
        <w:rPr>
          <w:sz w:val="20"/>
          <w:szCs w:val="20"/>
        </w:rPr>
        <w:t>, which was used as a consistency check but was not the main selection criterion,</w:t>
      </w:r>
      <w:r>
        <w:rPr>
          <w:sz w:val="20"/>
          <w:szCs w:val="20"/>
        </w:rPr>
        <w:t xml:space="preserve">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6CB410C2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 xml:space="preserve">Table S2 and Figure S2 report the mesh convergence study, and Table S3 compares an adaptive mesh with a uniform mesh.</w:t>
      </w:r>
      <w:ins w:id="9001" w:author="Claude" w:date="2026-10-08T23:30:10Z">
        <w:r w:rsidR="007163D0">
          <w:t xml:space="preserve"> Calibration used the 0.8M-element mesh (L2), with the simulated mass loss divided by 1.355846 to correct it to the fine-mesh basis (7-day value 0.2029% / 1.355846 = 0.1496%, compared with 0.1611% on the 18.9M-element mesh).</w:t>
        </w:r>
      </w:ins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2D60D4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lastRenderedPageBreak/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54593C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11D3E016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2D60D4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2D60D4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011580D2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A1273C3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2D60D4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>where n is the number of literature data points, and MassLoss_sim(t_i) and MassLoss_exp(t_i) are the simulated and literature mass loss at time t_i,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56C21E95" w:rsidR="005639C1" w:rsidRDefault="007163D0">
      <w:pPr>
        <w:pStyle w:val="BodyText"/>
        <w:spacing w:before="360" w:after="120"/>
        <w:ind w:firstLine="0"/>
      </w:pPr>
      <w:r>
        <w:t>Tables S8 and S9 and Figure S5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01C2AAB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2D60D4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039DDB95" w:rsidR="005639C1" w:rsidRDefault="007163D0">
      <w:pPr>
        <w:pStyle w:val="BodyText"/>
        <w:spacing w:after="120"/>
        <w:ind w:firstLine="0"/>
      </w:pPr>
      <w:r>
        <w:t>Figure S6 shows the ensemble prediction and the distribution of mass 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3F074B1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6AB9AD7F" w14:textId="7041E36F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BF14A8" w14:textId="7F884A44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2A961FB8" w14:textId="5C4BA9FD" w:rsidR="00AA7E3B" w:rsidRDefault="00AA7E3B" w:rsidP="00876655">
      <w:pPr>
        <w:pStyle w:val="Captions"/>
        <w:spacing w:before="80" w:after="360"/>
        <w:rPr>
          <w:sz w:val="20"/>
          <w:szCs w:val="20"/>
        </w:rPr>
      </w:pPr>
    </w:p>
    <w:p w14:paraId="5DC52813" w14:textId="77777777" w:rsidR="00AA7E3B" w:rsidRPr="00F164F0" w:rsidRDefault="00AA7E3B" w:rsidP="00876655">
      <w:pPr>
        <w:pStyle w:val="Captions"/>
        <w:spacing w:before="80" w:after="360"/>
      </w:pP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Comparison of simulated and measured mass loss in HBSS (validation) with the experimental scatter. Experimental values are mean ± SD (n = 3); |Error|/SD is the absolute error divided by the SD at the same 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04EA1288" w:rsidR="005639C1" w:rsidRDefault="007163D0">
      <w:pPr>
        <w:pStyle w:val="BodyText"/>
        <w:spacing w:after="120"/>
        <w:ind w:firstLine="0"/>
      </w:pPr>
      <w:r>
        <w:t>Figure S7 shows the spatial evolution of oxygen and film saturation in the stent. Table S12 and Figures S8 and S9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2D5A195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5C600A62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B7B2D63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F8613" w14:textId="77777777" w:rsidR="002D60D4" w:rsidRDefault="002D60D4">
      <w:pPr>
        <w:spacing w:line="240" w:lineRule="auto"/>
      </w:pPr>
      <w:r>
        <w:separator/>
      </w:r>
    </w:p>
  </w:endnote>
  <w:endnote w:type="continuationSeparator" w:id="0">
    <w:p w14:paraId="11EB1E48" w14:textId="77777777" w:rsidR="002D60D4" w:rsidRDefault="002D60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8C9C6" w14:textId="77777777" w:rsidR="002D60D4" w:rsidRDefault="002D60D4">
      <w:pPr>
        <w:spacing w:line="240" w:lineRule="auto"/>
      </w:pPr>
      <w:r>
        <w:separator/>
      </w:r>
    </w:p>
  </w:footnote>
  <w:footnote w:type="continuationSeparator" w:id="0">
    <w:p w14:paraId="6E70F291" w14:textId="77777777" w:rsidR="002D60D4" w:rsidRDefault="002D60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860BF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3170</TotalTime>
  <Pages>15</Pages>
  <Words>3040</Words>
  <Characters>17330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117</cp:revision>
  <cp:lastPrinted>2026-09-27T22:37:00Z</cp:lastPrinted>
  <dcterms:created xsi:type="dcterms:W3CDTF">2026-09-27T22:41:00Z</dcterms:created>
  <dcterms:modified xsi:type="dcterms:W3CDTF">2026-10-08T23:28:00Z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