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8A1F255"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2F52CE" w:rsidRPr="001A2EB4">
        <w:rPr>
          <w:b/>
          <w:bCs/>
        </w:rPr>
        <w:t xml:space="preserve">Figure </w:t>
      </w:r>
      <w:r w:rsidR="002F52CE">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7B7CC8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473CF855"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3510BAF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EF1B66" w14:textId="135DF62D" w:rsidR="00D26518" w:rsidRPr="001A2EB4" w:rsidRDefault="000D2C07" w:rsidP="00356611">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 xml:space="preserve">together with the corrosion-product </w:t>
      </w:r>
      <w:r w:rsidRPr="000D2C07">
        <w:t>concentration</w:t>
      </w:r>
      <w:r w:rsidR="00105ABB" w:rsidRPr="000D2C07">
        <w:rPr>
          <w:rFonts w:cs="Times New Roman"/>
        </w:rPr>
        <w:t xml:space="preserve"> </w:t>
      </w:r>
      <w:r w:rsidR="00105ABB" w:rsidRPr="000D2C07">
        <w:rPr>
          <w:rFonts w:cs="Times New Roman"/>
        </w:rPr>
        <w:t>(</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w:t>
      </w:r>
      <w:r w:rsidR="00356611">
        <w:t xml:space="preserve"> </w:t>
      </w:r>
      <w:r w:rsidR="00D26518" w:rsidRPr="001A2EB4">
        <w:t>The oxygen-reduction (ORR) molar flux at the interface is defined as</w:t>
      </w:r>
    </w:p>
    <w:p w14:paraId="7CC44FBB" w14:textId="77777777" w:rsidR="00D26518" w:rsidRPr="001A2EB4" w:rsidRDefault="00000000" w:rsidP="00D1626D">
      <w:pPr>
        <w:pStyle w:val="BodyText"/>
      </w:pPr>
      <m:oMathPara>
        <m:oMath>
          <m:sSub>
            <m:sSubPr>
              <m:ctrlPr>
                <w:rPr>
                  <w:rFonts w:ascii="Cambria Math" w:hAnsi="Cambria Math"/>
                </w:rPr>
              </m:ctrlPr>
            </m:sSubPr>
            <m:e>
              <m:r>
                <w:rPr>
                  <w:rFonts w:ascii="Cambria Math" w:hAnsi="Cambria Math"/>
                </w:rPr>
                <m:t>j</m:t>
              </m:r>
            </m:e>
            <m:sub>
              <m:r>
                <w:rPr>
                  <w:rFonts w:ascii="Cambria Math" w:hAnsi="Cambria Math"/>
                </w:rPr>
                <m:t>ORR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|Γ [mol mm⁻² h⁻¹]</m:t>
          </m:r>
        </m:oMath>
      </m:oMathPara>
    </w:p>
    <w:p w14:paraId="29844E44" w14:textId="77777777" w:rsidR="00D26518" w:rsidRPr="001A2EB4" w:rsidRDefault="00D26518" w:rsidP="00356611">
      <w:pPr>
        <w:pStyle w:val="BodyText"/>
        <w:ind w:firstLine="0"/>
      </w:pPr>
      <w:r w:rsidRPr="001A2EB4">
        <w:t>where k</w:t>
      </w:r>
      <w:r w:rsidRPr="001A2EB4">
        <w:rPr>
          <w:vertAlign w:val="subscript"/>
        </w:rPr>
        <w:t>ORR</w:t>
      </w:r>
      <w:r w:rsidRPr="001A2EB4">
        <w:t xml:space="preserve"> is a velocity (mm h⁻¹) and C</w:t>
      </w:r>
      <w:r w:rsidRPr="001A2EB4">
        <w:rPr>
          <w:vertAlign w:val="subscript"/>
        </w:rPr>
        <w:t>O2</w:t>
      </w:r>
      <w:r w:rsidRPr="001A2EB4">
        <w:t>|</w:t>
      </w:r>
      <w:r w:rsidRPr="001A2EB4">
        <w:rPr>
          <w:vertAlign w:val="subscript"/>
        </w:rPr>
        <w:t>Γ</w:t>
      </w:r>
      <w:r w:rsidRPr="001A2EB4">
        <w:t xml:space="preserve"> is the interfacial oxygen concentration.</w:t>
      </w:r>
    </w:p>
    <w:p w14:paraId="42144BD5" w14:textId="695D62F6"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537F75A"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02D5D2BA"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Zn</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)+2</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674D942D"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num>
          <m:den>
            <m:r>
              <w:rPr>
                <w:rFonts w:ascii="Cambria Math" w:hAnsi="Cambria Math"/>
              </w:rPr>
              <m:t>∂t</m:t>
            </m:r>
          </m:den>
        </m:f>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OH</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OH</m:t>
            </m:r>
          </m:sub>
        </m:sSub>
        <m:r>
          <w:rPr>
            <w:rFonts w:ascii="Cambria Math" w:hAnsi="Cambria Math"/>
          </w:rPr>
          <m:t>)+4</m:t>
        </m:r>
        <m:sSub>
          <m:sSubPr>
            <m:ctrlPr>
              <w:rPr>
                <w:rFonts w:ascii="Cambria Math" w:hAnsi="Cambria Math"/>
              </w:rPr>
            </m:ctrlPr>
          </m:sSubPr>
          <m:e>
            <m:r>
              <w:rPr>
                <w:rFonts w:ascii="Cambria Math" w:hAnsi="Cambria Math"/>
              </w:rPr>
              <m:t>j</m:t>
            </m:r>
          </m:e>
          <m:sub>
            <m:r>
              <w:rPr>
                <w:rFonts w:ascii="Cambria Math" w:hAnsi="Cambria Math"/>
              </w:rPr>
              <m:t>ORR</m:t>
            </m:r>
          </m:sub>
        </m:sSub>
        <m:sSub>
          <m:sSubPr>
            <m:ctrlPr>
              <w:rPr>
                <w:rFonts w:ascii="Cambria Math" w:hAnsi="Cambria Math"/>
              </w:rPr>
            </m:ctrlPr>
          </m:sSubPr>
          <m:e>
            <m:r>
              <w:rPr>
                <w:rFonts w:ascii="Cambria Math" w:hAnsi="Cambria Math"/>
              </w:rPr>
              <m:t>δ</m:t>
            </m:r>
          </m:e>
          <m:sub>
            <m:r>
              <w:rPr>
                <w:rFonts w:ascii="Cambria Math" w:hAnsi="Cambria Math"/>
              </w:rPr>
              <m:t>Γ</m:t>
            </m:r>
          </m:sub>
        </m:sSub>
        <m:r>
          <w:rPr>
            <w:rFonts w:ascii="Cambria Math" w:hAnsi="Cambria Math"/>
          </w:rPr>
          <m:t>-2</m:t>
        </m:r>
        <m:f>
          <m:fPr>
            <m:ctrlPr>
              <w:rPr>
                <w:rFonts w:ascii="Cambria Math" w:hAnsi="Cambria Math"/>
              </w:rPr>
            </m:ctrlPr>
          </m:fPr>
          <m:num>
            <m:r>
              <w:rPr>
                <w:rFonts w:ascii="Cambria Math" w:hAnsi="Cambria Math"/>
              </w:rPr>
              <m:t>∂F</m:t>
            </m:r>
          </m:num>
          <m:den>
            <m:r>
              <w:rPr>
                <w:rFonts w:ascii="Cambria Math" w:hAnsi="Cambria Math"/>
              </w:rPr>
              <m:t>∂t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2D54A70"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w:t>
      </w:r>
      <w:r w:rsidRPr="001A2EB4">
        <w:rPr>
          <w:rFonts w:cs="Times New Roman"/>
        </w:rPr>
        <w:t xml:space="preserve">molar concentration </w:t>
      </w:r>
      <m:oMath>
        <m:sSub>
          <m:sSubPr>
            <m:ctrlPr>
              <w:rPr>
                <w:rFonts w:ascii="Cambria Math" w:hAnsi="Cambria Math"/>
              </w:rPr>
            </m:ctrlPr>
          </m:sSubPr>
          <m:e>
            <m:r>
              <w:rPr>
                <w:rFonts w:ascii="Cambria Math" w:hAnsi="Cambria Math"/>
              </w:rPr>
              <m:t>F</m:t>
            </m:r>
          </m:e>
          <m:sub>
            <m:r>
              <w:rPr>
                <w:rFonts w:ascii="Cambria Math" w:hAnsi="Cambria Math"/>
              </w:rPr>
              <m:t>max</m:t>
            </m:r>
          </m:sub>
        </m:sSub>
        <m:r>
          <w:rPr>
            <w:rFonts w:ascii="Cambria Math" w:hAnsi="Cambria Math"/>
          </w:rPr>
          <m:t>=</m:t>
        </m:r>
        <m:f>
          <m:fPr>
            <m:type m:val="lin"/>
            <m:ctrlPr>
              <w:rPr>
                <w:rFonts w:ascii="Cambria Math" w:hAnsi="Cambria Math"/>
                <w:i/>
              </w:rPr>
            </m:ctrlPr>
          </m:fPr>
          <m:num>
            <m:sSub>
              <m:sSubPr>
                <m:ctrlPr>
                  <w:rPr>
                    <w:rFonts w:ascii="Cambria Math" w:hAnsi="Cambria Math"/>
                  </w:rPr>
                </m:ctrlPr>
              </m:sSubPr>
              <m:e>
                <m:r>
                  <w:rPr>
                    <w:rFonts w:ascii="Cambria Math" w:hAnsi="Cambria Math"/>
                  </w:rPr>
                  <m:t>ρ</m:t>
                </m:r>
              </m:e>
              <m:sub>
                <m:r>
                  <w:rPr>
                    <w:rFonts w:ascii="Cambria Math" w:hAnsi="Cambria Math"/>
                  </w:rPr>
                  <m:t>film</m:t>
                </m:r>
              </m:sub>
            </m:sSub>
            <m:r>
              <w:rPr>
                <w:rFonts w:ascii="Cambria Math" w:hAnsi="Cambria Math"/>
              </w:rPr>
              <m:t>(1-ε)</m:t>
            </m:r>
          </m:num>
          <m:den>
            <m:sSub>
              <m:sSubPr>
                <m:ctrlPr>
                  <w:rPr>
                    <w:rFonts w:ascii="Cambria Math" w:hAnsi="Cambria Math"/>
                  </w:rPr>
                </m:ctrlPr>
              </m:sSubPr>
              <m:e>
                <m:r>
                  <w:rPr>
                    <w:rFonts w:ascii="Cambria Math" w:hAnsi="Cambria Math"/>
                  </w:rPr>
                  <m:t>M</m:t>
                </m:r>
              </m:e>
              <m:sub>
                <m:r>
                  <w:rPr>
                    <w:rFonts w:ascii="Cambria Math" w:hAnsi="Cambria Math"/>
                  </w:rPr>
                  <m:t>film</m:t>
                </m:r>
              </m:sub>
            </m:sSub>
          </m:den>
        </m:f>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45B0FB1"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2F52CE" w:rsidRPr="001A2EB4">
        <w:rPr>
          <w:b/>
          <w:bCs/>
        </w:rPr>
        <w:t xml:space="preserve">Figure </w:t>
      </w:r>
      <w:r w:rsidR="002F52CE">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0CEA365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2F52CE" w:rsidRPr="001A2EB4">
        <w:rPr>
          <w:b/>
          <w:bCs/>
        </w:rPr>
        <w:t xml:space="preserve">Figure </w:t>
      </w:r>
      <w:r w:rsidR="002F52CE">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47D6">
      <w:pPr>
        <w:pStyle w:val="BodyText"/>
        <w:ind w:firstLine="0"/>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10C991DD"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sSub>
          <m:sSubPr>
            <m:ctrlPr>
              <w:rPr>
                <w:rFonts w:ascii="Cambria Math" w:hAnsi="Cambria Math"/>
              </w:rPr>
            </m:ctrlPr>
          </m:sSubPr>
          <m:e>
            <m:r>
              <w:rPr>
                <w:rFonts w:ascii="Cambria Math" w:hAnsi="Cambria Math"/>
              </w:rPr>
              <m:t>v</m:t>
            </m:r>
          </m:e>
          <m:sub>
            <m:r>
              <w:rPr>
                <w:rFonts w:ascii="Cambria Math" w:hAnsi="Cambria Math"/>
              </w:rPr>
              <m:t>n</m:t>
            </m:r>
          </m:sub>
        </m:sSub>
      </m:oMath>
      <w:r w:rsidR="00E54A50" w:rsidRPr="001A2EB4">
        <w:rPr>
          <w:rFonts w:cs="Times New Roman"/>
        </w:rPr>
        <w:tab/>
        <w:t>(1</w:t>
      </w:r>
      <w:r w:rsidR="007432DD" w:rsidRPr="001A2EB4">
        <w:rPr>
          <w:rFonts w:cs="Times New Roman"/>
        </w:rPr>
        <w:t>4</w:t>
      </w:r>
      <w:r w:rsidR="00E54A50" w:rsidRPr="001A2EB4">
        <w:rPr>
          <w:rFonts w:cs="Times New Roman"/>
        </w:rPr>
        <w:t>)</w:t>
      </w:r>
    </w:p>
    <w:p w14:paraId="21A8FB58" w14:textId="270FAF77" w:rsidR="00D26518" w:rsidRPr="001A2EB4" w:rsidRDefault="00D26518" w:rsidP="009A47D6">
      <w:pPr>
        <w:pStyle w:val="BodyText"/>
        <w:ind w:firstLine="0"/>
      </w:pPr>
      <w:r w:rsidRPr="001A2EB4">
        <w:t xml:space="preserve">Oxygen consumption is represented by the interface-localized sink in </w:t>
      </w:r>
      <w:r w:rsidRPr="009A47D6">
        <w:rPr>
          <w:b/>
          <w:bCs/>
        </w:rPr>
        <w:t>Equation 7</w:t>
      </w:r>
      <w:r w:rsidRPr="001A2EB4">
        <w:t xml:space="preserve">. As oxygen transport to the interface becomes restricted, the interfacial oxygen concentration decreases, thereby reducing both the ORR flux and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w:t>
      </w:r>
      <w:r w:rsidRPr="009A47D6">
        <w:rPr>
          <w:b/>
          <w:bCs/>
        </w:rPr>
        <w:t>(Section S1)</w:t>
      </w:r>
      <w:r w:rsidRPr="001A2EB4">
        <w:t>.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6ABF29D2" w14:textId="77777777"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w:t>
      </w:r>
      <w:ins w:id="9002" w:author="Claude" w:date="2026-10-09T21:29:24Z">
        <w:r w:rsidR="00024712" w:rsidRPr="001A2EB4">
          <w:t xml:space="preserve"> (27 mL)</w:t>
        </w:r>
      </w:ins>
      <w:r w:rsidR="00024712" w:rsidRPr="001A2EB4">
        <w:t xml:space="preserve"> electrolyte domain</w:t>
      </w:r>
      <w:r w:rsidR="00024712" w:rsidRPr="001A2EB4">
        <w:t>,</w:t>
      </w:r>
      <w:r w:rsidR="00024712" w:rsidRPr="001A2EB4">
        <w:t xml:space="preserve"> identical for the disc and the stent and larger than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 xml:space="preserve">).</w:t>
      </w:r>
      <w:ins w:id="9001" w:author="Claude" w:date="2026-10-09T21:29:24Z">
        <w:r w:rsidRPr="001A2EB4">
          <w:t xml:space="preserve"> Calibration simulations were run on a coarser mesh and corrected to the fine-mesh result (Section S5, Figure S5).</w:t>
        </w:r>
      </w:ins>
    </w:p>
    <w:p w14:paraId="17BAEB51" w14:textId="7AD7EC09"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w:t>
      </w:r>
      <w:ins w:id="9003" w:author="Claude" w:date="2026-10-09T21:29:24Z">
        <w:r w:rsidRPr="001A2EB4">
          <w:t xml:space="preserve">); the sensitivity of the predicted mass loss to the oxygen supply and to the initial oxygen concentration, and the difference between the 27 mL computational and 44 mL experimental volumes, are examined in Section S7 (Figure S10</w:t>
        </w:r>
      </w:ins>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2F52CE" w:rsidRPr="001A2EB4">
        <w:rPr>
          <w:b/>
          <w:bCs/>
        </w:rPr>
        <w:t xml:space="preserve">Table </w:t>
      </w:r>
      <w:r w:rsidR="002F52CE">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6947678B"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118"/>
        <w:gridCol w:w="1702"/>
        <w:gridCol w:w="2849"/>
        <w:gridCol w:w="1403"/>
      </w:tblGrid>
      <w:tr w:rsidR="00E54A50" w:rsidRPr="001A2EB4" w14:paraId="5E15812C" w14:textId="77777777" w:rsidTr="00382515">
        <w:trPr>
          <w:cantSplit/>
          <w:trHeight w:val="397"/>
          <w:tblHeader/>
        </w:trPr>
        <w:tc>
          <w:tcPr>
            <w:tcW w:w="1719"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938"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570"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382515">
        <w:trPr>
          <w:cantSplit/>
          <w:trHeight w:val="397"/>
        </w:trPr>
        <w:tc>
          <w:tcPr>
            <w:tcW w:w="1719"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938"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382515">
        <w:trPr>
          <w:cantSplit/>
          <w:trHeight w:val="397"/>
        </w:trPr>
        <w:tc>
          <w:tcPr>
            <w:tcW w:w="1719"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938"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570"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382515">
        <w:trPr>
          <w:cantSplit/>
          <w:trHeight w:val="397"/>
        </w:trPr>
        <w:tc>
          <w:tcPr>
            <w:tcW w:w="1719"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938"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570"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382515">
        <w:trPr>
          <w:cantSplit/>
          <w:trHeight w:val="397"/>
        </w:trPr>
        <w:tc>
          <w:tcPr>
            <w:tcW w:w="1719"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938"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382515">
        <w:trPr>
          <w:cantSplit/>
          <w:trHeight w:val="397"/>
        </w:trPr>
        <w:tc>
          <w:tcPr>
            <w:tcW w:w="1719"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938"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382515">
        <w:trPr>
          <w:cantSplit/>
          <w:trHeight w:val="397"/>
        </w:trPr>
        <w:tc>
          <w:tcPr>
            <w:tcW w:w="1719"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382515">
        <w:trPr>
          <w:cantSplit/>
          <w:trHeight w:val="397"/>
        </w:trPr>
        <w:tc>
          <w:tcPr>
            <w:tcW w:w="1719"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938"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570"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382515">
        <w:trPr>
          <w:cantSplit/>
          <w:trHeight w:val="397"/>
        </w:trPr>
        <w:tc>
          <w:tcPr>
            <w:tcW w:w="1719"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938"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382515">
        <w:trPr>
          <w:cantSplit/>
          <w:trHeight w:val="397"/>
        </w:trPr>
        <w:tc>
          <w:tcPr>
            <w:tcW w:w="1719"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938"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382515">
        <w:trPr>
          <w:cantSplit/>
          <w:trHeight w:val="397"/>
        </w:trPr>
        <w:tc>
          <w:tcPr>
            <w:tcW w:w="1719"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938"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570"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382515">
        <w:trPr>
          <w:cantSplit/>
          <w:trHeight w:val="397"/>
        </w:trPr>
        <w:tc>
          <w:tcPr>
            <w:tcW w:w="1719"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938"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570"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382515">
        <w:trPr>
          <w:cantSplit/>
          <w:trHeight w:val="397"/>
        </w:trPr>
        <w:tc>
          <w:tcPr>
            <w:tcW w:w="1719"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938"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570"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382515">
        <w:trPr>
          <w:cantSplit/>
          <w:trHeight w:val="397"/>
        </w:trPr>
        <w:tc>
          <w:tcPr>
            <w:tcW w:w="1719"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938"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570"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382515">
        <w:trPr>
          <w:cantSplit/>
          <w:trHeight w:val="397"/>
        </w:trPr>
        <w:tc>
          <w:tcPr>
            <w:tcW w:w="1719"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938"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570"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382515">
        <w:trPr>
          <w:cantSplit/>
          <w:trHeight w:val="397"/>
        </w:trPr>
        <w:tc>
          <w:tcPr>
            <w:tcW w:w="1719"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938"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570" w:type="pct"/>
          </w:tcPr>
          <w:p w14:paraId="71708B56" w14:textId="18C5065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1.42 × 10⁻⁷ mol</w:t>
            </w:r>
            <w:r w:rsidRPr="008F2761">
              <w:rPr>
                <w:rFonts w:cs="Times New Roman"/>
                <w:sz w:val="22"/>
                <w:szCs w:val="22"/>
              </w:rPr>
              <w:t xml:space="preserve">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382515">
        <w:trPr>
          <w:cantSplit/>
          <w:trHeight w:val="397"/>
        </w:trPr>
        <w:tc>
          <w:tcPr>
            <w:tcW w:w="1719"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938"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570" w:type="pct"/>
          </w:tcPr>
          <w:p w14:paraId="1BC5FFA1" w14:textId="5BC86A1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1.09 × 10⁻¹⁰ mol</w:t>
            </w:r>
            <w:r w:rsidRPr="008F2761">
              <w:rPr>
                <w:rFonts w:cs="Times New Roman"/>
                <w:sz w:val="22"/>
                <w:szCs w:val="22"/>
              </w:rPr>
              <w:t xml:space="preserve">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382515">
        <w:trPr>
          <w:cantSplit/>
          <w:trHeight w:val="397"/>
        </w:trPr>
        <w:tc>
          <w:tcPr>
            <w:tcW w:w="1719"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938"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570"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w:t>
      </w:r>
      <w:r w:rsidR="00435C38" w:rsidRPr="001A2EB4">
        <w:t xml:space="preserve">obtained from revised simulated body fluid (r-SBF) immersion experiments reported by Liu et 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11BBB4"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2F52CE">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56FD767"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b/>
          <w:bCs/>
        </w:rPr>
        <w:fldChar w:fldCharType="begin"/>
      </w:r>
      <w:r w:rsidRPr="001A2EB4">
        <w:rPr>
          <w:rFonts w:cs="Times New Roman"/>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b/>
          <w:bCs/>
        </w:rPr>
        <w:fldChar w:fldCharType="begin"/>
      </w:r>
      <w:r w:rsidRPr="001A2EB4">
        <w:rPr>
          <w:rFonts w:cs="Times New Roman"/>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fldChar w:fldCharType="separate"/>
      </w:r>
      <w:r w:rsidR="00F60B2A" w:rsidRPr="00F60B2A">
        <w:rPr>
          <w:rFonts w:cs="Times New Roman"/>
          <w:vertAlign w:val="superscript"/>
        </w:rPr>
        <w:t>[21]</w:t>
      </w:r>
      <w:r w:rsidR="00B30658" w:rsidRPr="001A2EB4">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w:t>
      </w:r>
      <w:del w:id="14" w:author="Claude" w:date="2026-10-09T01:35:00Z">
        <w:r w:rsidR="00B710C6"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1B3D66">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B3D66">
        <w:rPr>
          <w:rFonts w:cs="Times New Roman"/>
        </w:rPr>
        <w:t>.</w:t>
      </w:r>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 xml:space="preserve">Following the initial exploration of the admissible parameter space, the optimization rapidly reduced the RMSE from approximately 0.28% to below 0.05% and </w:t>
      </w:r>
      <w:r>
        <w:t>identified</w:t>
      </w:r>
      <w:r w:rsidR="00B31A12" w:rsidRPr="001A2EB4">
        <w:t xml:space="preserve"> </w:t>
      </w:r>
      <w:r>
        <w:t>a</w:t>
      </w:r>
      <w:r w:rsidR="00B31A12" w:rsidRPr="001A2EB4">
        <w:t xml:space="preserve"> </w:t>
      </w:r>
      <w:r>
        <w:t>distinct</w:t>
      </w:r>
      <w:r w:rsidR="00B31A12" w:rsidRPr="001A2EB4">
        <w:t xml:space="preserve"> </w:t>
      </w:r>
      <w:r>
        <w:t>optimum</w:t>
      </w:r>
      <w:r w:rsidR="00B31A12" w:rsidRPr="001A2EB4">
        <w:t xml:space="preserve"> </w:t>
      </w:r>
      <w:r>
        <w:t>after</w:t>
      </w:r>
      <w:r w:rsidR="00B31A12" w:rsidRPr="001A2EB4">
        <w:t xml:space="preserve"> 22</w:t>
      </w:r>
      <w:r>
        <w:t xml:space="preserve">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w:t>
      </w:r>
      <w:r>
        <w:t>, indicating stable convergence rather than continued sensitivity to parameter exploration</w:t>
      </w:r>
      <w:r w:rsidR="00B31A12" w:rsidRPr="001A2EB4">
        <w:t>.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w:t>
      </w:r>
      <w:r>
        <w:t xml:space="preserve">combination of </w:t>
      </w:r>
      <w:r w:rsidR="00B31A12" w:rsidRPr="001A2EB4">
        <w:t>low calibration error</w:t>
      </w:r>
      <w:r>
        <w:t xml:space="preserve"> and rapid convergence</w:t>
      </w:r>
      <w:r w:rsidR="00B31A12" w:rsidRPr="001A2EB4">
        <w:t xml:space="preserv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26B8E943"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3</w:t>
      </w:r>
      <w:r w:rsidRPr="001A2EB4">
        <w:rPr>
          <w:b/>
          <w:bCs/>
        </w:rPr>
        <w:fldChar w:fldCharType="end"/>
      </w:r>
      <w:bookmarkEnd w:id="15"/>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6FED57CD"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7E6198CE"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1×10⁴, 8×10⁵</w:t>
            </w:r>
            <w:r w:rsidRPr="001A2EB4">
              <w:rPr>
                <w:rFonts w:cs="Times New Roman"/>
                <w:sz w:val="22"/>
                <w:szCs w:val="22"/>
              </w:rPr>
              <w:t>]</w:t>
            </w:r>
          </w:p>
        </w:tc>
        <w:tc>
          <w:tcPr>
            <w:tcW w:w="1403" w:type="pct"/>
          </w:tcPr>
          <w:p w14:paraId="08F7AE1D" w14:textId="577F7D26"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3×10⁵</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317236B8"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2×10⁷, 4×10⁸</w:t>
            </w:r>
            <w:r w:rsidRPr="001A2EB4">
              <w:rPr>
                <w:rFonts w:cs="Times New Roman"/>
                <w:sz w:val="22"/>
                <w:szCs w:val="22"/>
              </w:rPr>
              <w:t>]</w:t>
            </w:r>
          </w:p>
        </w:tc>
        <w:tc>
          <w:tcPr>
            <w:tcW w:w="1403" w:type="pct"/>
          </w:tcPr>
          <w:p w14:paraId="45745734" w14:textId="75E30467"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1×10⁸</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457E7493"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1B3D66" w:rsidRPr="001B3D66">
              <w:rPr>
                <w:rFonts w:cs="Times New Roman"/>
                <w:sz w:val="22"/>
                <w:szCs w:val="22"/>
              </w:rPr>
              <w:t>8, 800</w:t>
            </w:r>
            <w:r w:rsidRPr="001A2EB4">
              <w:rPr>
                <w:rFonts w:cs="Times New Roman"/>
                <w:sz w:val="22"/>
                <w:szCs w:val="22"/>
              </w:rPr>
              <w:t>]</w:t>
            </w:r>
          </w:p>
        </w:tc>
        <w:tc>
          <w:tcPr>
            <w:tcW w:w="1403" w:type="pct"/>
          </w:tcPr>
          <w:p w14:paraId="2697C478" w14:textId="035CC0AB" w:rsidR="0090588D" w:rsidRPr="001A2EB4" w:rsidRDefault="001B3D66" w:rsidP="00E1667A">
            <w:pPr>
              <w:pStyle w:val="Compact"/>
              <w:spacing w:line="240" w:lineRule="auto"/>
              <w:jc w:val="left"/>
              <w:rPr>
                <w:rFonts w:cs="Times New Roman"/>
                <w:sz w:val="22"/>
                <w:szCs w:val="22"/>
              </w:rPr>
            </w:pPr>
            <w:r w:rsidRPr="001B3D66">
              <w:rPr>
                <w:rFonts w:cs="Times New Roman"/>
                <w:sz w:val="22"/>
                <w:szCs w:val="22"/>
              </w:rPr>
              <w:t>80</w:t>
            </w:r>
          </w:p>
        </w:tc>
      </w:tr>
      <w:bookmarkEnd w:id="17"/>
    </w:tbl>
    <w:p w14:paraId="1D477EF3" w14:textId="77777777" w:rsidR="0090588D" w:rsidRPr="001A2EB4" w:rsidRDefault="0090588D" w:rsidP="0090588D">
      <w:pPr>
        <w:pStyle w:val="BodyText"/>
        <w:ind w:firstLine="0"/>
      </w:pPr>
    </w:p>
    <w:p w14:paraId="4A960038" w14:textId="5F7D335B"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18"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where </w:t>
      </w:r>
      <w:r w:rsidR="007600C0" w:rsidRPr="001A2EB4">
        <w:rPr>
          <w:rFonts w:cs="Times New Roman"/>
        </w:rPr>
        <w:t xml:space="preserve">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5A635B1C"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r w:rsidR="008E5454">
        <w:t xml:space="preserve">corrosion-product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DFD46EF"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2F52CE" w:rsidRPr="002F52CE">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2F52CE" w:rsidRPr="001A2EB4">
        <w:rPr>
          <w:b/>
          <w:bCs/>
        </w:rPr>
        <w:t xml:space="preserve">Figure </w:t>
      </w:r>
      <w:r w:rsidR="002F52CE">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66900EEE" w:rsidR="000631D6" w:rsidRPr="001A2EB4" w:rsidRDefault="000631D6" w:rsidP="000631D6">
      <w:pPr>
        <w:pStyle w:val="Captions"/>
        <w:rPr>
          <w:rFonts w:cs="Times New Roman"/>
        </w:rPr>
      </w:pPr>
      <w:bookmarkStart w:id="19"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4</w:t>
      </w:r>
      <w:r w:rsidRPr="001A2EB4">
        <w:rPr>
          <w:b/>
          <w:bCs/>
        </w:rPr>
        <w:fldChar w:fldCharType="end"/>
      </w:r>
      <w:bookmarkEnd w:id="19"/>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51983772"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Table </w:t>
      </w:r>
      <w:r w:rsidR="002F52CE">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5B74C020"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027130D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EED767E"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ADCA70C"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5CC46ED"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2F52CE" w:rsidRPr="001A2EB4">
        <w:rPr>
          <w:b/>
          <w:bCs/>
        </w:rPr>
        <w:t xml:space="preserve">Figure </w:t>
      </w:r>
      <w:r w:rsidR="002F52CE">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ins w:id="2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5BF16D2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736366CC"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2F52CE" w:rsidRPr="001A2EB4">
        <w:rPr>
          <w:b/>
          <w:bCs/>
        </w:rPr>
        <w:t xml:space="preserve">Figure </w:t>
      </w:r>
      <w:r w:rsidR="002F52CE">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7CBD23EE" w:rsidR="00FE72EC" w:rsidRPr="001A2EB4" w:rsidRDefault="000631D6" w:rsidP="00FE72EC">
      <w:pPr>
        <w:pStyle w:val="Captions"/>
      </w:pPr>
      <w:bookmarkStart w:id="25"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6</w:t>
      </w:r>
      <w:r w:rsidRPr="001A2EB4">
        <w:rPr>
          <w:b/>
          <w:bCs/>
        </w:rPr>
        <w:fldChar w:fldCharType="end"/>
      </w:r>
      <w:bookmarkEnd w:id="25"/>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4297CA8E"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2F52CE" w:rsidRPr="001A2EB4">
        <w:rPr>
          <w:b/>
          <w:bCs/>
        </w:rPr>
        <w:t xml:space="preserve">Figure </w:t>
      </w:r>
      <w:r w:rsidR="002F52CE">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2F52CE" w:rsidRPr="001A2EB4">
        <w:rPr>
          <w:b/>
          <w:bCs/>
        </w:rPr>
        <w:t xml:space="preserve">Figure </w:t>
      </w:r>
      <w:r w:rsidR="002F52CE">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153F382A"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2F52CE" w:rsidRPr="001A2EB4">
        <w:rPr>
          <w:b/>
          <w:bCs/>
        </w:rPr>
        <w:t xml:space="preserve">Figure </w:t>
      </w:r>
      <w:r w:rsidR="002F52CE">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6"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C3191CC" w:rsidR="000631D6" w:rsidRPr="001A2EB4" w:rsidRDefault="000631D6" w:rsidP="000631D6">
      <w:pPr>
        <w:pStyle w:val="Captions"/>
      </w:pPr>
      <w:bookmarkStart w:id="27"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7</w:t>
      </w:r>
      <w:r w:rsidRPr="001A2EB4">
        <w:rPr>
          <w:b/>
          <w:bCs/>
        </w:rPr>
        <w:fldChar w:fldCharType="end"/>
      </w:r>
      <w:bookmarkEnd w:id="27"/>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B1A7866"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764197DA" w:rsidR="00BC50F3" w:rsidRPr="001A2EB4" w:rsidRDefault="00BC50F3" w:rsidP="00BC50F3">
      <w:pPr>
        <w:pStyle w:val="Captions"/>
      </w:pPr>
      <w:bookmarkStart w:id="28"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8</w:t>
      </w:r>
      <w:r w:rsidRPr="001A2EB4">
        <w:rPr>
          <w:b/>
          <w:bCs/>
        </w:rPr>
        <w:fldChar w:fldCharType="end"/>
      </w:r>
      <w:bookmarkEnd w:id="28"/>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38C55277"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29"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30"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rsidRPr="00492114">
        <w:t xml:space="preserve">. Continuous oxygen replenishment at the electrolyte–air interface may not reflect the 48 h medium renewal used in the experiments, so the calibrated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492114" w:rsidRPr="00492114">
        <w:t xml:space="preserve"> is conditional on the assumed oxygen history</w:t>
      </w:r>
      <w:ins w:id="9004" w:author="Claude" w:date="2026-10-09T21:29:24Z">
        <w:r w:rsidR="00492114" w:rsidRPr="00492114">
          <w:t xml:space="preserve"> (Section S7, Figure S10)</w:t>
        </w:r>
      </w:ins>
      <w:r w:rsidR="00492114" w:rsidRPr="00492114">
        <w:t>.</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r w:rsidR="005757F6" w:rsidRPr="005757F6">
        <w:t xml:space="preserve"> The computational electrolyte domain (30 × 30 × 30 mm, corresponding to 27 mL) is smaller than the experimental immersion volume (44 mL), which may introduce deviations in the predicted oxygen concentration field because of the reduced oxygen reservoir available in the simulation.</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 xml:space="preserve">this approach is insufficient because geometry, mass transport, and degradation evolve in a coupled manner, continuously altering the load-bearing architecture and its mechanical response. By explicitly resolving the influence of geometry on local oxygen </w:t>
      </w:r>
      <w:r w:rsidR="002E4C03" w:rsidRPr="002E4C03">
        <w:t>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bookmarkEnd w:id="26"/>
    <w:p w14:paraId="516B3B1A" w14:textId="77777777" w:rsidR="000631D6" w:rsidRPr="001A2EB4" w:rsidRDefault="000631D6" w:rsidP="000631D6">
      <w:pPr>
        <w:pStyle w:val="Heading1"/>
      </w:pPr>
      <w:r w:rsidRPr="001A2EB4">
        <w:t>Conclusions</w:t>
      </w:r>
    </w:p>
    <w:p w14:paraId="0E48EE87" w14:textId="5DFC256D" w:rsidR="00C5098B" w:rsidRDefault="005B5344" w:rsidP="0063546E">
      <w:pPr>
        <w:pStyle w:val="BodyText"/>
      </w:pPr>
      <w:bookmarkStart w:id="31"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2"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r w:rsidRPr="005B5344">
        <w:t xml:space="preserve">which could enable </w:t>
      </w:r>
      <w:r w:rsidRPr="005B5344">
        <w:t>structural performance to be considered throughout the implant lifetime rather than only at implantation.</w:t>
      </w:r>
      <w:bookmarkEnd w:id="31"/>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Shearier,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Atrens, G. Song, M. Liu, Z. Shi, F. Cao, and M. S. Dargusch,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Katarivas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Vojtěch, J. Kubásek, J. Šerák, and P. Novák, “Mechanical and Corrosion Properties of Newly Developed Biodegradable Zn-Based Alloys for Bone Fixation,” </w:t>
      </w:r>
      <w:r w:rsidRPr="001F250F">
        <w:rPr>
          <w:i/>
          <w:iCs/>
        </w:rPr>
        <w:t>Acta Biomaterialia</w:t>
      </w:r>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r w:rsidRPr="001F250F">
        <w:rPr>
          <w:i/>
          <w:iCs/>
        </w:rPr>
        <w:t>npj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Willumeit-Römer, and B. Zeller-Plumhoff,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Petrini, M. Vedani, S. Trasatti, and F. Migliavacca,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Acta Biomaterialia</w:t>
      </w:r>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Barzegari, D. Mei, S. V. Lamaka,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Bajger, J. M. A. Ashbourn, V. Manhas, Y. Guyot, K. Lietaert, and L. Geris, “Mathematical Modelling of the Degradation Behaviour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Medhekar, G. S. Frankel, and N. Birbilis,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Nishikata, and T. Tsuru,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Wallmersperger, “Modeling the Uniform Corrosion Behavior of Zinc in Salt Spray Testing,” </w:t>
      </w:r>
      <w:r w:rsidRPr="001F250F">
        <w:rPr>
          <w:i/>
          <w:iCs/>
        </w:rPr>
        <w:t>npj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Kistanov, A. A. Izosimov, and E. A. Korznikova,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AlBaraghtheh, R. Willumeit‐Römer, and B. Zeller‐Plumhoff,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Su, L. Qiao, and Y. Yan, “Insight into the Corrosion Behaviour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Golovaty,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r w:rsidRPr="001F250F">
        <w:rPr>
          <w:b/>
          <w:bCs/>
          <w:vertAlign w:val="subscript"/>
        </w:rPr>
        <w:t>2</w:t>
      </w:r>
      <w:r w:rsidRPr="001F250F">
        <w:rPr>
          <w:b/>
          <w:bCs/>
        </w:rPr>
        <w:t xml:space="preserve"> </w:t>
      </w:r>
      <w:r w:rsidRPr="001F250F">
        <w:t xml:space="preserve"> </w:t>
      </w:r>
      <w:r w:rsidRPr="001F250F">
        <w:rPr>
          <w:b/>
          <w:bCs/>
        </w:rPr>
        <w:t>O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Marmet, M. Fingerle, A. Wiegmann,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Tkacz, K. Slouková, J. Minda,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Kokubo, and H. Takadama, “How Useful Is SBF in Predicting in Vivo Bone Bioactivity?,”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Volinsky,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Mostaed, M. Sikora-Jasinska, J. W. Drelich, and M. Vedani, “Zinc-Based Alloys for Degradable Vascular Stent Applications,” </w:t>
      </w:r>
      <w:r w:rsidRPr="001F250F">
        <w:rPr>
          <w:i/>
          <w:iCs/>
        </w:rPr>
        <w:t>Acta Biomaterialia</w:t>
      </w:r>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3058E" w14:textId="77777777" w:rsidR="00462727" w:rsidRDefault="00462727">
      <w:r>
        <w:separator/>
      </w:r>
    </w:p>
  </w:endnote>
  <w:endnote w:type="continuationSeparator" w:id="0">
    <w:p w14:paraId="19BDC7B4" w14:textId="77777777" w:rsidR="00462727" w:rsidRDefault="00462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0787D" w14:textId="77777777" w:rsidR="00462727" w:rsidRDefault="00462727">
      <w:r>
        <w:separator/>
      </w:r>
    </w:p>
  </w:footnote>
  <w:footnote w:type="continuationSeparator" w:id="0">
    <w:p w14:paraId="6A60FD01" w14:textId="77777777" w:rsidR="00462727" w:rsidRDefault="00462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52131274">
    <w:abstractNumId w:val="2"/>
  </w:num>
  <w:num w:numId="2" w16cid:durableId="1100103712">
    <w:abstractNumId w:val="0"/>
  </w:num>
  <w:num w:numId="3" w16cid:durableId="1285959792">
    <w:abstractNumId w:val="1"/>
  </w:num>
  <w:num w:numId="4" w16cid:durableId="896664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3D66"/>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8E7"/>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2CE"/>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56611"/>
    <w:rsid w:val="0036263B"/>
    <w:rsid w:val="00363B62"/>
    <w:rsid w:val="00363EEB"/>
    <w:rsid w:val="003645B0"/>
    <w:rsid w:val="00364B2C"/>
    <w:rsid w:val="003664F1"/>
    <w:rsid w:val="00367E3F"/>
    <w:rsid w:val="00375B25"/>
    <w:rsid w:val="00375F1B"/>
    <w:rsid w:val="00377EA5"/>
    <w:rsid w:val="00377F77"/>
    <w:rsid w:val="00382515"/>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727"/>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3854"/>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673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0BD5"/>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2B8F"/>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CDD"/>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7D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A2F"/>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249E"/>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5.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5.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2138</TotalTime>
  <Pages>30</Pages>
  <Words>24288</Words>
  <Characters>138446</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32</cp:revision>
  <cp:lastPrinted>2026-10-09T06:30:00Z</cp:lastPrinted>
  <dcterms:created xsi:type="dcterms:W3CDTF">2026-10-01T06:12:00Z</dcterms:created>
  <dcterms:modified xsi:type="dcterms:W3CDTF">2026-10-09T21:03:00Z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