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A formal profile likelihood or posterior was not computed. The BO evaluations give an equivalent picture. Among the 25 evaluations within 1.5× the best RMSE (both repeats), k_ORR is tightly constrained (0.15–0.19, a ±12% range), whereas k_f (2.2–96) and k_d (0.6–93) span more than one decade each. The Spearman rank correlations (log10 values) are weak between k_f and k_d (0.11) and moderate between k_d and k_ORR (−0.50), so k_f and k_d are unconstrained rather than degenerate through their ratio. This is stated in the Results and Limitations: only k_ORR is reported as identified, and k_f and k_d are treated as effective parameters whose individual values are not interpreted. The predictions are insensitive to this, because the near-optimal points all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