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(down to 0.1 in the local phase) and k_ORR ∈ [0.05, 5] mm h⁻¹. Each repeat used 28 evaluations in three phases: a 12-point Latin hypercube; 8 points chosen by expected improvement on a Gaussian-process surrogate (Matérn ν = 2.5); and 8 further local points chosen on the same mass-loss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0.0173%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The best points were found at iterations 25 and 20, in the local and expected-improvement phases, respectively. The calibrated k_ORR was consistent between repeats (0.15–0.19 mm h⁻¹ among all 25 fits with RMSE ≤ 0.025%), whereas k_f and k_d were not individually identifiable: fits of equal quality spanned k_f = 2.2–96 h⁻¹ and k_d = 0.6–93 L² mol⁻² h⁻¹. The adopted values</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was adopted.</w:t>
      </w:r>
      <w:r w:rsidR="00215165" w:rsidRPr="001A2EB4"/>
      <w:r w:rsidR="00B31A12" w:rsidRPr="001A2EB4">
        <w:t xml:space="preserve">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 model for repeat 1 (28 evaluations; the second repeat is in the SI). The shaded region is the initial Latin-hypercube sampling, the line is the best RMSE so far, and the star marks the optimum (iteration 25).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2.75</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5.19</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0.161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