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pH 7.4)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The reaction term was applied exclusively at the moving Zn–electrolyte interface, such that oxygen must diffuse to the Zn surface before being consumed. The interface term δ_Γ is a sharp surface integral over the zero level set (FreeFEM int2d with the levelset option), with no smoothing parameter; a smoothed delta function with a width equal to the minimum mesh size is used only in post-processing averages.</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is treated as effectively non-consumed, because it is in large excess (142.3 mmol L⁻¹) and is not appreciably depleted by corrosion-product dissolution </w:t>
      </w:r>
      <w:r w:rsidRPr="001A2EB4">
        <w:rPr>
          <w:rFonts w:cs="Times New Roman"/>
        </w:rPr>
      </w:r>
      <w:r w:rsidRPr="001A2EB4">
        <w:rPr>
          <w:rFonts w:cs="Times New Roman"/>
        </w:rPr>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The chloride exponent in Eq. 11 is an effective reaction order, not the stoichiometric one of Eq. 5.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t xml:space="preserve"> (in g mm⁻³)</w:t>
      </w:r>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Calibration used 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 were searched log-uniformly within k_f ∈ [1, 100] h⁻¹, k_d ∈ [1, 100] L² mol⁻² h⁻¹ </w:t>
      </w:r>
      <w:ins w:id="9001" w:author="Claude" w:date="2026-10-08T13:39:47Z">
        <w:r w:rsidR="00435C38" w:rsidRPr="001A2EB4">
          <w:t xml:space="preserve">(down to 0.1 in the local phase) </w:t>
        </w:r>
      </w:ins>
      <w:r w:rsidR="00435C38" w:rsidRPr="001A2EB4">
        <w:t xml:space="preserve">and k_ORR ∈ [0.05, 5] mm h⁻¹. Each repeat used 28 evaluations in three phases: a 12-point Latin hypercube; 8 points chosen by expected improvement on a Gaussian-process surrogate (Matérn ν = 2.5); and 8 further local points chosen on the same mass-loss objective. Two independent repeats were run from different initial designs. The objective was the RMSE between simulated and target mass loss at 24, 48, 120, 168, 240 and 336 h.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Two independent repeats of the optimization reached minimum RMSE values of 0.0173% and 0.0178%</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 xml:space="preserve">The best points were found at iterations 25 and 20, in the local and expected-improvement phases, respectively. The calibrated k_ORR was consistent between repeats (0.</w:t>
      </w:r>
      <w:del w:id="9021" w:author="Claude" w:date="2026-10-08T13:39:47Z">
        <w:r>
          <w:delText xml:space="preserve">161 and </w:delText>
        </w:r>
      </w:del>
      <w:ins w:id="9020" w:author="Claude" w:date="2026-10-08T13:39:47Z">
        <w:r w:rsidR="00B31A12" w:rsidRPr="001A2EB4">
          <w:t xml:space="preserve">15–</w:t>
        </w:r>
      </w:ins>
      <w:r w:rsidR="00B31A12" w:rsidRPr="001A2EB4">
        <w:t xml:space="preserve">0.</w:t>
      </w:r>
      <w:del w:id="9019" w:author="Claude" w:date="2026-10-08T13:39:47Z">
        <w:r>
          <w:delText xml:space="preserve">156</w:delText>
        </w:r>
      </w:del>
      <w:ins w:id="9018" w:author="Claude" w:date="2026-10-08T13:39:47Z">
        <w:r w:rsidR="00B31A12" w:rsidRPr="001A2EB4">
          <w:t xml:space="preserve">19</w:t>
        </w:r>
      </w:ins>
      <w:r w:rsidR="00B31A12" w:rsidRPr="001A2EB4">
        <w:t xml:space="preserve"> mm h⁻¹</w:t>
      </w:r>
      <w:ins w:id="9017" w:author="Claude" w:date="2026-10-08T13:39:47Z">
        <w:r w:rsidR="00B31A12" w:rsidRPr="001A2EB4">
          <w:t xml:space="preserve"> among all 25 fits with RMSE ≤ 0.025%</w:t>
        </w:r>
      </w:ins>
      <w:r w:rsidR="00B31A12" w:rsidRPr="001A2EB4">
        <w:t xml:space="preserve">), whereas k_f and k_d </w:t>
      </w:r>
      <w:del w:id="9016" w:author="Claude" w:date="2026-10-08T13:39:47Z">
        <w:r>
          <w:delText xml:space="preserve">differed</w:delText>
        </w:r>
      </w:del>
      <w:ins w:id="9015" w:author="Claude" w:date="2026-10-08T13:39:47Z">
        <w:r w:rsidR="00B31A12" w:rsidRPr="001A2EB4">
          <w:t xml:space="preserve">were</w:t>
        </w:r>
      </w:ins>
      <w:r w:rsidR="00B31A12" w:rsidRPr="001A2EB4">
        <w:t xml:space="preserve"> </w:t>
      </w:r>
      <w:del w:id="9014" w:author="Claude" w:date="2026-10-08T13:39:47Z">
        <w:r>
          <w:delText xml:space="preserve">(</w:delText>
        </w:r>
      </w:del>
      <w:ins w:id="9013" w:author="Claude" w:date="2026-10-08T13:39:47Z">
        <w:r w:rsidR="00B31A12" w:rsidRPr="001A2EB4">
          <w:t xml:space="preserve">not individually identifiable: fits of equal quality spanned k_f = </w:t>
        </w:r>
      </w:ins>
      <w:r w:rsidR="00B31A12" w:rsidRPr="001A2EB4">
        <w:t xml:space="preserve">2.</w:t>
      </w:r>
      <w:del w:id="9012" w:author="Claude" w:date="2026-10-08T13:39:47Z">
        <w:r>
          <w:delText xml:space="preserve">75 and 5.80</w:delText>
        </w:r>
      </w:del>
      <w:ins w:id="9011" w:author="Claude" w:date="2026-10-08T13:39:47Z">
        <w:r w:rsidR="00B31A12" w:rsidRPr="001A2EB4">
          <w:t xml:space="preserve">2–96</w:t>
        </w:r>
      </w:ins>
      <w:r w:rsidR="00B31A12" w:rsidRPr="001A2EB4">
        <w:t xml:space="preserve"> h⁻¹</w:t>
      </w:r>
      <w:del w:id="9010" w:author="Claude" w:date="2026-10-08T13:39:47Z">
        <w:r>
          <w:delText xml:space="preserve">; 5.19</w:delText>
        </w:r>
      </w:del>
      <w:r w:rsidR="00B31A12" w:rsidRPr="001A2EB4">
        <w:t xml:space="preserve"> and </w:t>
      </w:r>
      <w:del w:id="9009" w:author="Claude" w:date="2026-10-08T13:39:47Z">
        <w:r>
          <w:delText xml:space="preserve">18</w:delText>
        </w:r>
      </w:del>
      <w:ins w:id="9008" w:author="Claude" w:date="2026-10-08T13:39:47Z">
        <w:r w:rsidR="00B31A12" w:rsidRPr="001A2EB4">
          <w:t xml:space="preserve">k_d = 0</w:t>
        </w:r>
      </w:ins>
      <w:r w:rsidR="00B31A12" w:rsidRPr="001A2EB4">
        <w:t xml:space="preserve">.6</w:t>
      </w:r>
      <w:ins w:id="9007" w:author="Claude" w:date="2026-10-08T13:39:47Z">
        <w:r w:rsidR="00B31A12" w:rsidRPr="001A2EB4">
          <w:t xml:space="preserve">–93</w:t>
        </w:r>
      </w:ins>
      <w:r w:rsidR="00B31A12" w:rsidRPr="001A2EB4">
        <w:t xml:space="preserve"> L² mol⁻² h⁻¹</w:t>
      </w:r>
      <w:del w:id="9006" w:author="Claude" w:date="2026-10-08T13:39:47Z">
        <w:r>
          <w:delText xml:space="preserve">) and were not individually identifiable</w:delText>
        </w:r>
      </w:del>
      <w:r w:rsidR="00B31A12" w:rsidRPr="001A2EB4">
        <w:t xml:space="preserve">. The adopted values</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del w:id="9005" w:author="Claude" w:date="2026-10-08T13:39:47Z">
        <w:r>
          <w:delText xml:space="preserve">are</w:delText>
        </w:r>
      </w:del>
      <w:ins w:id="9004" w:author="Claude" w:date="2026-10-08T13:39:47Z">
        <w:r w:rsidR="00B31A12" w:rsidRPr="001A2EB4">
          <w:t xml:space="preserve">was</w:t>
        </w:r>
      </w:ins>
      <w:r w:rsidR="00B31A12" w:rsidRPr="001A2EB4">
        <w:t xml:space="preserve"> </w:t>
      </w:r>
      <w:del w:id="9003" w:author="Claude" w:date="2026-10-08T13:39:47Z">
        <w:r>
          <w:delText xml:space="preserve">listed</w:delText>
        </w:r>
      </w:del>
      <w:ins w:id="9002" w:author="Claude" w:date="2026-10-08T13:39:47Z">
        <w:r w:rsidR="00B31A12" w:rsidRPr="001A2EB4">
          <w:t xml:space="preserve">adopted</w:t>
        </w:r>
      </w:ins>
      <w:r w:rsidR="00B31A12" w:rsidRPr="001A2EB4">
        <w:t xml:space="preserve">.</w:t>
      </w:r>
      <w:r w:rsidR="00215165" w:rsidRPr="001A2EB4"/>
      <w:r w:rsidR="00B31A12" w:rsidRPr="001A2EB4">
        <w:t xml:space="preserve"> These results show that the proposed framework can closely reproduce the calibration measurements. The low calibration error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5436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543694"/>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w:t>
      </w:r>
      <w:ins w:id="9035" w:author="Claude" w:date="2026-10-08T13:39:47Z">
        <w:r w:rsidR="003C53D5" w:rsidRPr="001A2EB4">
          <w:t xml:space="preserve">of the 3D reaction-diffusion model </w:t>
        </w:r>
      </w:ins>
      <w:r w:rsidR="003C53D5" w:rsidRPr="001A2EB4">
        <w:t xml:space="preserve">for </w:t>
      </w:r>
      <w:del w:id="9034" w:author="Claude" w:date="2026-10-08T13:39:47Z">
        <w:r>
          <w:delText xml:space="preserve">two</w:delText>
        </w:r>
      </w:del>
      <w:ins w:id="9033" w:author="Claude" w:date="2026-10-08T13:39:47Z">
        <w:r w:rsidR="003C53D5" w:rsidRPr="001A2EB4">
          <w:t xml:space="preserve">repeat</w:t>
        </w:r>
      </w:ins>
      <w:r w:rsidR="003C53D5" w:rsidRPr="001A2EB4">
        <w:t xml:space="preserve"> </w:t>
      </w:r>
      <w:del w:id="9032" w:author="Claude" w:date="2026-10-08T13:39:47Z">
        <w:r>
          <w:delText xml:space="preserve">independent repeats</w:delText>
        </w:r>
      </w:del>
      <w:ins w:id="9031" w:author="Claude" w:date="2026-10-08T13:39:47Z">
        <w:r w:rsidR="003C53D5" w:rsidRPr="001A2EB4">
          <w:t xml:space="preserve">1</w:t>
        </w:r>
      </w:ins>
      <w:r w:rsidR="003C53D5" w:rsidRPr="001A2EB4">
        <w:t xml:space="preserve"> (</w:t>
      </w:r>
      <w:del w:id="9030" w:author="Claude" w:date="2026-10-08T13:39:47Z">
        <w:r>
          <w:delText xml:space="preserve">circles and squares; </w:delText>
        </w:r>
      </w:del>
      <w:r w:rsidR="003C53D5" w:rsidRPr="001A2EB4">
        <w:t xml:space="preserve">28 evaluations</w:t>
      </w:r>
      <w:del w:id="9029" w:author="Claude" w:date="2026-10-08T13:39:47Z">
        <w:r>
          <w:delText xml:space="preserve"> each). Lines show</w:delText>
        </w:r>
      </w:del>
      <w:ins w:id="9028" w:author="Claude" w:date="2026-10-08T13:39:47Z">
        <w:r w:rsidR="003C53D5" w:rsidRPr="001A2EB4">
          <w:t xml:space="preserve">;</w:t>
        </w:r>
      </w:ins>
      <w:r w:rsidR="003C53D5" w:rsidRPr="001A2EB4">
        <w:t xml:space="preserve"> the </w:t>
      </w:r>
      <w:del w:id="9027" w:author="Claude" w:date="2026-10-08T13:39:47Z">
        <w:r>
          <w:delText xml:space="preserve">best RMSE so far and stars mark each</w:delText>
        </w:r>
      </w:del>
      <w:ins w:id="9026" w:author="Claude" w:date="2026-10-08T13:39:47Z">
        <w:r w:rsidR="003C53D5" w:rsidRPr="001A2EB4">
          <w:t xml:space="preserve">second</w:t>
        </w:r>
      </w:ins>
      <w:r w:rsidR="003C53D5" w:rsidRPr="001A2EB4">
        <w:t xml:space="preserve"> repeat</w:t>
      </w:r>
      <w:del w:id="9025" w:author="Claude" w:date="2026-10-08T13:39:47Z">
        <w:r>
          <w:delText xml:space="preserve">’s</w:delText>
        </w:r>
      </w:del>
      <w:r w:rsidR="003C53D5" w:rsidRPr="001A2EB4">
        <w:t xml:space="preserve"> </w:t>
      </w:r>
      <w:del w:id="9024" w:author="Claude" w:date="2026-10-08T13:39:47Z">
        <w:r>
          <w:delText xml:space="preserve">optimum</w:delText>
        </w:r>
      </w:del>
      <w:ins w:id="9023" w:author="Claude" w:date="2026-10-08T13:39:47Z">
        <w:r w:rsidR="003C53D5" w:rsidRPr="001A2EB4">
          <w:t xml:space="preserve">is in the SI)</w:t>
        </w:r>
      </w:ins>
      <w:r w:rsidR="003C53D5" w:rsidRPr="001A2EB4">
        <w:t xml:space="preserve">. The shaded region is the initial Latin-hypercube sampling</w:t>
      </w:r>
      <w:ins w:id="9022" w:author="Claude" w:date="2026-10-08T13:39:47Z">
        <w:r w:rsidR="003C53D5" w:rsidRPr="001A2EB4">
          <w:t xml:space="preserve">, the line is the best RMSE so far, and the star marks the optimum (iteration 25)</w:t>
        </w:r>
      </w:ins>
      <w:r w:rsidR="003C53D5" w:rsidRPr="001A2EB4">
        <w:t xml:space="preserve">. RMSE is the mass-loss error of the corrected coarse-mesh simulation against the 0–336 h target</w:t>
      </w:r>
      <w:r w:rsidRPr="001A2EB4">
        <w:t>.</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del w:id="30001" w:author="Claude" w:date="2026-10-08T13:39:48Z">
              <w:r w:rsidRPr="001A2EB4">
                <w:rPr>
                  <w:rFonts w:cs="Times New Roman"/>
                  <w:sz w:val="22"/>
                  <w:szCs w:val="22"/>
                </w:rPr>
                <w:delText xml:space="preserve">2.75</w:delText>
              </w:r>
            </w:del>
            <w:ins w:id="30002" w:author="Claude" w:date="2026-10-08T13:39:48Z">
              <w:r w:rsidRPr="001A2EB4">
                <w:rPr>
                  <w:rFonts w:cs="Times New Roman"/>
                  <w:sz w:val="22"/>
                  <w:szCs w:val="22"/>
                </w:rPr>
                <w:t>2.75</w:t>
              </w:r>
            </w:ins>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w:r>
              <w:t>L² mol⁻² h⁻¹</w:t>
            </w:r>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1</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del w:id="30003" w:author="Claude" w:date="2026-10-08T13:39:48Z">
              <w:r w:rsidRPr="001A2EB4">
                <w:rPr>
                  <w:rFonts w:cs="Times New Roman"/>
                  <w:sz w:val="22"/>
                  <w:szCs w:val="22"/>
                </w:rPr>
                <w:delText xml:space="preserve">5.19</w:delText>
              </w:r>
            </w:del>
            <w:ins w:id="30004" w:author="Claude" w:date="2026-10-08T13:39:48Z">
              <w:r w:rsidRPr="001A2EB4">
                <w:rPr>
                  <w:rFonts w:cs="Times New Roman"/>
                  <w:sz w:val="22"/>
                  <w:szCs w:val="22"/>
                </w:rPr>
                <w:t>5.19</w:t>
              </w:r>
            </w:ins>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del w:id="30005" w:author="Claude" w:date="2026-10-08T13:39:48Z">
              <w:r w:rsidRPr="001A2EB4">
                <w:rPr>
                  <w:rFonts w:cs="Times New Roman"/>
                  <w:sz w:val="22"/>
                  <w:szCs w:val="22"/>
                </w:rPr>
                <w:delText xml:space="preserve">0.161</w:delText>
              </w:r>
            </w:del>
            <w:ins w:id="30006" w:author="Claude" w:date="2026-10-08T13:39:48Z">
              <w:r w:rsidRPr="001A2EB4">
                <w:rPr>
                  <w:rFonts w:cs="Times New Roman"/>
                  <w:sz w:val="22"/>
                  <w:szCs w:val="22"/>
                </w:rPr>
                <w:t>0.161</w:t>
              </w:r>
            </w:ins>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r w:rsidR="00492114">
        <w:t xml:space="preserve">. The film field is defined on the fixed mesh on the electrolyte side of the moving interface rather than attached to it, and the ZnO/Zn volume ratio (about 1.6) is not represented.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 Independent measurements of Zn²⁺ release by ICP and direct mechanism tests, such as film thickness from FIB or SEM cross-sections or stirred and different-O₂ experiments, were not performed and are also needed.</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