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r w:rsidRPr="001A2EB4">
        <w:rPr>
          <w:lang w:val="en-US"/>
        </w:rPr>
        <w:t xml:space="preserve"> (a) Reaction–diffusion model coupling species transport and corrosion-film evolution with moving-interface tracking; (b) calibration of the three effective kinetic parameters (k</w:t>
      </w:r>
      <w:r w:rsidRPr="001A2EB4">
        <w:rPr>
          <w:lang w:val="en-US"/>
          <w:vertAlign w:val="subscript"/>
        </w:rPr>
        <w:t xml:space="preserve">f</w:t>
      </w:r>
      <w:r w:rsidRPr="001A2EB4">
        <w:rPr>
          <w:lang w:val="en-US"/>
        </w:rPr>
        <w:t xml:space="preserve">, k</w:t>
      </w:r>
      <w:r w:rsidRPr="001A2EB4">
        <w:rPr>
          <w:lang w:val="en-US"/>
          <w:vertAlign w:val="subscript"/>
        </w:rPr>
        <w:t xml:space="preserve">d</w:t>
      </w:r>
      <w:r w:rsidRPr="001A2EB4">
        <w:rPr>
          <w:lang w:val="en-US"/>
        </w:rPr>
        <w:t xml:space="preserve">, k</w:t>
      </w:r>
      <w:r w:rsidRPr="001A2EB4">
        <w:rPr>
          <w:lang w:val="en-US"/>
          <w:vertAlign w:val="subscript"/>
        </w:rPr>
        <w:t xml:space="preserve">ORR</w:t>
      </w:r>
      <w:r w:rsidRPr="001A2EB4">
        <w:rPr>
          <w:lang w:val="en-US"/>
        </w:rPr>
        <w:t xml:space="preserve">)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rPr>
          <w:lang w:val="en-US"/>
        </w:rPr>
      </w:pP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6923D586" w14:textId="77777777" w:rsidR="0008134C" w:rsidRPr="001A2EB4" w:rsidRDefault="0008134C" w:rsidP="00E54A50">
      <w:pPr>
        <w:pStyle w:val="BodyText"/>
        <w:ind w:firstLine="0"/>
        <w:rPr>
          <w:rFonts w:cs="Times New Roman"/>
          <w:lang w:val="en-US"/>
        </w:rPr>
      </w:pP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w:t>
      </w:r>
      <w:r w:rsidR="0058436A" w:rsidRPr="001A2EB4">
        <w:rPr>
          <w:b/>
          <w:bCs/>
          <w:noProof/>
          <w:lang w:val="en-US"/>
        </w:rPr>
        <w:t>2</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w:t>
      </w:r>
      <w:r w:rsidR="0058436A" w:rsidRPr="001A2EB4">
        <w:rPr>
          <w:b/>
          <w:bCs/>
          <w:noProof/>
          <w:lang w:val="en-US"/>
        </w:rPr>
        <w:t>2</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 xml:space="preserve"> (Section S1, Supporting Information).</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(Section S2)</w:t>
      </w:r>
      <w:r w:rsidR="00B72505" w:rsidRPr="001A2EB4">
        <w:rPr>
          <w:b/>
          <w:bCs/>
          <w:lang w:val="en-US"/>
        </w:rPr>
        <w:t xml:space="preserve"/>
      </w:r>
      <w:r w:rsidR="008A0899" w:rsidRPr="001A2EB4">
        <w:rPr>
          <w:b/>
          <w:bCs/>
          <w:lang w:val="en-US"/>
        </w:rPr>
        <w:t xml:space="preserve"/>
      </w:r>
      <w:r w:rsidRPr="001A2EB4">
        <w:rPr>
          <w:lang w:val="en-US"/>
        </w:rPr>
        <w:t xml:space="preserve">.</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Equation S1</w:t>
      </w:r>
      <w:r w:rsidR="00780FF0" w:rsidRPr="001A2EB4">
        <w:rPr>
          <w:lang w:val="en-US"/>
        </w:rPr>
        <w:t>), Zn²⁺ concentration, pH (</w:t>
      </w:r>
      <w:r w:rsidR="00780FF0" w:rsidRPr="001A2EB4">
        <w:rPr>
          <w:b/>
          <w:bCs/>
          <w:lang w:val="en-US"/>
        </w:rPr>
        <w:t>Equation S2</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Equation S3</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w:t>
      </w:r>
      <w:r w:rsidR="0058436A" w:rsidRPr="001A2EB4">
        <w:rPr>
          <w:b/>
          <w:bCs/>
          <w:noProof/>
          <w:lang w:val="en-US"/>
        </w:rPr>
        <w:t>1</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 xml:space="preserve">Section S3 (Supporting Information) lists the computational parameters</w:t>
      </w:r>
      <w:r w:rsidR="00B30658" w:rsidRPr="001A2EB4">
        <w:rPr>
          <w:b/>
          <w:bCs/>
          <w:lang w:val="en-US"/>
        </w:rPr>
        <w:t xml:space="preserve"/>
      </w:r>
      <w:r w:rsidR="002B2A3C" w:rsidRPr="001A2EB4">
        <w:rPr>
          <w:lang w:val="en-US"/>
        </w:rPr>
        <w:t xml:space="preserve"/>
      </w:r>
      <w:r w:rsidR="0004311D" w:rsidRPr="001A2EB4">
        <w:rPr>
          <w:lang w:val="en-US"/>
        </w:rPr>
        <w:t xml:space="preserve"> used in the simulations.</w:t>
      </w:r>
      <w:r w:rsidRPr="001A2EB4">
        <w:rPr>
          <w:lang w:val="en-US"/>
        </w:rPr>
        <w:t xml:space="preserve"> </w:t>
      </w:r>
    </w:p>
    <w:p w14:paraId="5BC5B0D0" w14:textId="77777777" w:rsidR="00633455" w:rsidRPr="001A2EB4" w:rsidRDefault="00633455" w:rsidP="00D26518">
      <w:pPr>
        <w:pStyle w:val="BodyText"/>
        <w:ind w:firstLine="0"/>
        <w:rPr>
          <w:lang w:val="en-US"/>
        </w:rPr>
      </w:pP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w:t>
      </w:r>
      <w:r w:rsidR="00B30658" w:rsidRPr="001A2EB4">
        <w:rPr>
          <w:lang w:val="en-US"/>
        </w:rPr>
        <w:t xml:space="preserve"/>
      </w:r>
      <w:r w:rsidR="00B30658" w:rsidRPr="001A2EB4">
        <w:rPr>
          <w:b/>
          <w:bCs/>
          <w:lang w:val="en-US"/>
        </w:rPr>
        <w:t xml:space="preserve"/>
      </w:r>
      <w:r w:rsidR="00B30658" w:rsidRPr="001A2EB4">
        <w:rPr>
          <w:lang w:val="en-US"/>
        </w:rPr>
        <w:t xml:space="preserve"/>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[54] (Section S5).</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 xml:space="preserve"/>
      </w:r>
      <w:r w:rsidR="00435C38" w:rsidRPr="001A2EB4">
        <w:rPr>
          <w:rFonts w:cs="Times New Roman"/>
          <w:lang w:val="en-US"/>
        </w:rPr>
        <w:fldChar w:fldCharType="end"/>
      </w:r>
      <w:r w:rsidR="00A56051" w:rsidRPr="001A2EB4">
        <w:rPr>
          <w:rFonts w:cs="Times New Roman"/>
          <w:lang w:val="en-US"/>
        </w:rPr>
        <w:t xml:space="preserve"/>
      </w:r>
      <w:r w:rsidR="00A56051" w:rsidRPr="001A2EB4">
        <w:rPr>
          <w:rFonts w:cs="Times New Roman"/>
          <w:b/>
          <w:bCs/>
          <w:lang w:val="en-US"/>
        </w:rPr>
        <w:t xml:space="preserve"/>
      </w:r>
      <w:r w:rsidR="00B30658" w:rsidRPr="001A2EB4">
        <w:rPr>
          <w:rFonts w:cs="Times New Roman"/>
          <w:b/>
          <w:bCs/>
          <w:lang w:val="en-US"/>
        </w:rPr>
        <w:t xml:space="preserve"/>
      </w:r>
      <w:r w:rsidR="00A56051" w:rsidRPr="001A2EB4">
        <w:rPr>
          <w:rFonts w:cs="Times New Roman"/>
          <w:lang w:val="en-US"/>
        </w:rPr>
        <w:t xml:space="preserve"/>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2.3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1</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3</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w:t>
      </w:r>
      <w:r w:rsidR="0058436A" w:rsidRPr="001A2EB4">
        <w:rPr>
          <w:b/>
          <w:bCs/>
          <w:noProof/>
          <w:lang w:val="en-US"/>
        </w:rPr>
        <w:t>2</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(Section S5). The combination of low calibration error and rapid convergence supports the framework’s potential </w:t>
      </w:r>
      <w:r w:rsidR="00B31A12" w:rsidRPr="001A2EB4">
        <w:rPr>
          <w:lang w:val="en-US"/>
        </w:rPr>
        <w:lastRenderedPageBreak/>
        <w:t>as a computationally tractable basis for predictive Zn biodegradation modeling, subject to independent validation.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4</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4</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4</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3</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5</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with an RMSE of 0.0159% and a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(Section S5)</w:t>
      </w:r>
      <w:r w:rsidR="002A379F" w:rsidRPr="001A2EB4">
        <w:rPr>
          <w:rFonts w:cs="Times New Roman"/>
          <w:b/>
          <w:bCs/>
          <w:lang w:val="en-US"/>
        </w:rPr>
        <w:t xml:space="preserve"/>
      </w:r>
      <w:r w:rsidR="00CF36DC" w:rsidRPr="001A2EB4">
        <w:rPr>
          <w:rFonts w:cs="Times New Roman"/>
          <w:b/>
          <w:bCs/>
          <w:lang w:val="en-US"/>
        </w:rPr>
        <w:t xml:space="preserve"/>
      </w:r>
      <w:r w:rsidR="002A379F" w:rsidRPr="001A2EB4">
        <w:rPr>
          <w:rFonts w:cs="Times New Roman"/>
          <w:lang w:val="en-US"/>
        </w:rPr>
        <w:t xml:space="preserve"/>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5</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xml:space="preserve">, indicating a very strong correlation between the two variables (Figure S9).</w:t>
      </w:r>
      <w:r w:rsidR="00CF36DC" w:rsidRPr="001A2EB4">
        <w:rPr>
          <w:b/>
          <w:bCs/>
          <w:lang w:val="en-US"/>
        </w:rPr>
        <w:t xml:space="preserve"/>
      </w:r>
      <w:r w:rsidR="00CF36DC" w:rsidRPr="001A2EB4">
        <w:rPr>
          <w:lang w:val="en-US"/>
        </w:rPr>
        <w:t xml:space="preserve"/>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6</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7</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 xml:space="preserve">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(Figure 7b; Section S7).</w:t>
      </w:r>
      <w:r w:rsidR="004E40FB" w:rsidRPr="001A2EB4">
        <w:rPr>
          <w:lang w:val="en-US"/>
        </w:rPr>
        <w:t xml:space="preserve"/>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 xml:space="preserve"/>
      </w:r>
      <w:r w:rsidR="004E40FB" w:rsidRPr="001A2EB4">
        <w:rPr>
          <w:b/>
          <w:bCs/>
          <w:lang w:val="en-US"/>
        </w:rPr>
        <w:fldChar w:fldCharType="end"/>
      </w:r>
      <w:r w:rsidR="004E40FB" w:rsidRPr="001A2EB4">
        <w:rPr>
          <w:b/>
          <w:bCs/>
          <w:lang w:val="en-US"/>
        </w:rPr>
        <w:t xml:space="preserve"/>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7</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7</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 xml:space="preserve">Following the stent-scale analysis, the role of individual geometric features was further isolated using simplified wire configurations (Section S7).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8c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8d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8</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 which enabled the sensitivity, calibration and uncertainty analyses (Sections S4–S6), and the geometric and field data stored at each time step provide a strong basis for training surrogate models</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Pr="005757F6">
        <w:rPr>
          <w:lang w:val="en-US"/>
        </w:rPr>
        <w:t xml:space="preserve">.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establishes that Zn biodegradation under physiological conditions </w:t>
      </w:r>
      <w:r>
        <w:rPr>
          <w:lang w:val="en-US"/>
        </w:rPr>
        <w:t>follows</w:t>
      </w:r>
      <w:r w:rsidRPr="0063546E">
        <w:rPr>
          <w:lang w:val="en-US"/>
        </w:rPr>
        <w:t xml:space="preserve"> a self-limiting, oxygen-transport-controlled mechanism. The developed </w:t>
      </w:r>
      <w:r>
        <w:rPr>
          <w:lang w:val="en-US"/>
        </w:rPr>
        <w:t>3D</w:t>
      </w:r>
      <w:r w:rsidRPr="0063546E">
        <w:rPr>
          <w:lang w:val="en-US"/>
        </w:rPr>
        <w:t xml:space="preserve"> reaction-diffusion framework </w:t>
      </w:r>
      <w:proofErr w:type="gramStart"/>
      <w:r w:rsidRPr="0063546E">
        <w:rPr>
          <w:lang w:val="en-US"/>
        </w:rPr>
        <w:t>couples</w:t>
      </w:r>
      <w:proofErr w:type="gramEnd"/>
      <w:r w:rsidRPr="0063546E">
        <w:rPr>
          <w:lang w:val="en-US"/>
        </w:rPr>
        <w:t xml:space="preserve"> anodic dissolution, cathodic oxygen reduction, species transport, corrosion-product evolution, and interface recession. Sensitivity and mechanistic analyses identified oxygen availability as the dominant control on mass loss and showed that corrosion-product accumulation progressively restricts oxygen transport, shifting degradation from reaction-controlled to diffusion-controlled behavior. With only three calibrated kinetic parameters, the model reproduced the 28-day experimental mass-loss response with an RMSE of 0.0159%.</w:t>
      </w:r>
      <w:r>
        <w:rPr>
          <w:lang w:val="en-US"/>
        </w:rPr>
        <w:t xml:space="preserve"> </w:t>
      </w:r>
      <w:r w:rsidRPr="0063546E">
        <w:rPr>
          <w:lang w:val="en-US"/>
        </w:rPr>
        <w:t xml:space="preserve">Most importantly, geometry-dependent degradation emerged without prescribing spatial variations in corrosion kinetics. The disc-calibrated parameters transferred to a six-crown stent without geometry-specific recalibration, predicting approximately 6% mass loss after </w:t>
      </w:r>
      <w:r w:rsidR="00E84226">
        <w:rPr>
          <w:lang w:val="en-US"/>
        </w:rPr>
        <w:t>672</w:t>
      </w:r>
      <w:r w:rsidRPr="0063546E">
        <w:rPr>
          <w:lang w:val="en-US"/>
        </w:rPr>
        <w:t xml:space="preserve"> h and revealing pronounced localization at oxygen-accessible crown surfaces. Simplified geometry studies further showed that curvature and inter-strut spacing have relatively modest effects on mean degradation but strongly control where material loss occurs. </w:t>
      </w:r>
      <w:r>
        <w:rPr>
          <w:lang w:val="en-US"/>
        </w:rPr>
        <w:t>Therefore</w:t>
      </w:r>
      <w:r w:rsidRPr="0063546E">
        <w:rPr>
          <w:lang w:val="en-US"/>
        </w:rPr>
        <w:t xml:space="preserve">, cumulative mass loss and nominal corrosion rate alone may conceal localized recession relevant to strut thinning </w:t>
      </w:r>
      <w:r w:rsidRPr="0063546E">
        <w:rPr>
          <w:lang w:val="en-US"/>
        </w:rPr>
        <w:lastRenderedPageBreak/>
        <w:t>and structural failure. By linking implant geometry to both the rate and spatial evolution of degradation through the underlying transport physics, this framework provides a mechanistic and computationally tractable foundation for degradation-informed design of stents, scaffolds, lattices, and other biodegradable Zn implants. Its reduced parameter space and time-resolved field outputs also create a basis for surrogate-model training and future coupling with mechanical-integrity simulations.</w:t>
      </w:r>
      <w:bookmarkEnd w:id="24"/>
    </w:p>
    <w:p w14:paraId="7ED69ABA" w14:textId="77777777" w:rsidR="0063546E" w:rsidRPr="0063546E" w:rsidRDefault="0063546E" w:rsidP="0063546E">
      <w:pPr>
        <w:pStyle w:val="BodyText"/>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