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r/>
            <w:r>
              <w:rPr>
                <w:i w:val="0"/>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r/>
            <w:r>
              <w:rPr>
                <w:sz w:val="20"/>
              </w:rPr>
              <w:t>Draft</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r/>
            <w:r>
              <w:rPr>
                <w:i w:val="0"/>
                <w:color w:val="000000"/>
                <w:sz w:val="20"/>
              </w:rPr>
              <w:t>The first measurement is at 24 h, so the experiments do not constrain the reaction-to-diffusion transition, which is a model-derived quantity. The simulations themselves resolve this period: the time step is 0.25 h (Table S4) and the fields and mass loss were saved at 1 h intervals, so the Damköhler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r/>
            <w:r>
              <w:rPr>
                <w:sz w:val="20"/>
              </w:rPr>
              <w:t>Draft</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r/>
            <w:r>
              <w:rPr>
                <w:i w:val="0"/>
                <w:color w:val="000000"/>
                <w:sz w:val="20"/>
              </w:rPr>
              <w:t>We agree. The 14-day and 28-day masses (3.03 ± 0.74 and 3.67 ± 1.33 mg, n = 3; a 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r/>
            <w:r>
              <w:rPr>
                <w:sz w:val="20"/>
              </w:rPr>
              <w:t>Draft</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r/>
            <w:r>
              <w:rPr>
                <w:i w:val="0"/>
                <w:color w:val="000000"/>
                <w:sz w:val="20"/>
              </w:rPr>
              <w:t>We agree that a correlation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r/>
            <w:r>
              <w:rPr>
                <w:sz w:val="20"/>
              </w:rPr>
              <w:t>Draft</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val="0"/>
                <w:color w:val="000000"/>
                <w:sz w:val="20"/>
              </w:rPr>
              <w:t>We agree that oxygen-reduction-limited dissolution is a model assumption (Eqs. 1–2), so the Morris ranking alone cannot show that oxygen controls degradation. We now state oxygen control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and the limitations section states this.</w:t>
            </w:r>
          </w:p>
        </w:tc>
        <w:tc>
          <w:tcPr>
            <w:tcW w:w="1587" w:type="dxa"/>
          </w:tcPr>
          <w:p w14:paraId="64144BC5" w14:textId="77777777" w:rsidR="003F785C" w:rsidRDefault="00E9439A">
            <w:r>
              <w:rPr>
                <w:i w:val="0"/>
                <w:color w:val="000000"/>
                <w:sz w:val="20"/>
              </w:rPr>
              <w:t>Addressed</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val="0"/>
        </w:rPr>
        <w:t>The following changes were made in addition to those requested: in the Figure 4 caption "(g-i)" was changed to "(g–i)";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