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The original estimate of 0.009 mm yr⁻¹ uses molar C_O₂. However, the solver uses the O₂ mass concentration without molar-mass conversion, making the simulated velocity approximately 32× higher. Eqs. 15–16 have been corrected to include M_O₂ explicitly and clarify the mass/molar basis and effective units of k_ORR. The corrected ORR ceiling is 0.29 mm yr⁻¹, above the simulated disc and stent rates of 0.12 and 0.155 mm yr⁻¹. Therefore, the results remain consistent; the issue was with the printed equations and unit definitions, not the simulations.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Closed</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A1.1. The simulated corrosion rates in Figs. 5b and 6b (0.12 and 0.155 mm yr⁻¹) lie below the corrected ceiling of 0.29 mm yr⁻¹.</w:t>
            </w:r>
          </w:p>
        </w:tc>
        <w:tc>
          <w:tcPr>
            <w:tcW w:w="1587" w:type="dxa"/>
          </w:tcPr>
          <w:p w14:paraId="7DFA5F15" w14:textId="77777777" w:rsidR="00660073" w:rsidRDefault="00000000">
            <w:r>
              <w:rPr>
                <w:sz w:val="20"/>
              </w:rPr>
              <w:t>Closed</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has been recomputed around a baseline of k_f = 35, k_d = 27 and k_ORR = 0.5, with sweeps of k_ORR = 0.1, 0.5 and 2.5. At 168 h, the ORR ceilings for these values are 0.15, 0.75 and 3.75%, above the simulated mass losses of 0.04, 0.20 and 0.63%.</w:t>
            </w:r>
            <w:proofErr w:type="spellStart"/>
            <w:proofErr w:type="spellEnd"/>
          </w:p>
        </w:tc>
        <w:tc>
          <w:tcPr>
            <w:tcW w:w="1587" w:type="dxa"/>
          </w:tcPr>
          <w:p w14:paraId="43BEC15B" w14:textId="77777777" w:rsidR="00660073" w:rsidRDefault="00000000">
            <w:r>
              <w:rPr>
                <w:sz w:val="20"/>
              </w:rPr>
              <w:t>Closed</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A global O₂ mass balance has been added (Section S8, Table S13). The O₂ consumed at the interface is about 1/32 of the stoichiometric requirement at 24 h and about 1/24 at 168 h, so the M_O₂ factor acts as an effective one and Zn recession is not stoichiometrically coupled to O₂ consumption. This is now stated in the Methods and Limitations.</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correct for Eq. 15 as originally printed (see A1.1). Eqs. 15–16 now include M_O₂ and reproduce the simulated rates.</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lastRenderedPageBreak/>
              <w:t xml:space="preserve">Figure 5c was </w:t>
            </w:r>
            <w:proofErr w:type="spellStart"/>
            <w:r w:rsidRPr="00555FC1">
              <w:rPr>
                <w:color w:val="000000"/>
                <w:sz w:val="20"/>
              </w:rPr>
              <w:t>mislabelled</w:t>
            </w:r>
            <w:proofErr w:type="spellEnd"/>
            <w:r w:rsidRPr="00555FC1">
              <w:rPr>
                <w:color w:val="000000"/>
                <w:sz w:val="20"/>
              </w:rPr>
              <w:t xml:space="preserve">: the </w:t>
            </w:r>
            <w:proofErr w:type="spellStart"/>
            <w:r w:rsidRPr="00555FC1">
              <w:rPr>
                <w:color w:val="000000"/>
                <w:sz w:val="20"/>
              </w:rPr>
              <w:t>colour</w:t>
            </w:r>
            <w:proofErr w:type="spellEnd"/>
            <w:r w:rsidRPr="00555FC1">
              <w:rPr>
                <w:color w:val="000000"/>
                <w:sz w:val="20"/>
              </w:rPr>
              <w:t xml:space="preserve"> bar represents dimensional FFF (g mm⁻³), not </w:t>
            </w:r>
            <w:r w:rsidRPr="00555FC1">
              <w:rPr>
                <w:color w:val="000000"/>
                <w:sz w:val="20"/>
              </w:rPr>
              <w:lastRenderedPageBreak/>
              <w:t>F/Fmax​. The maximum value corresponds to F/Fmax=0.713, giving Deff/D=0.376, or a 62% diffusivity reduction. The label, caption, and discussion have been corrected accordingly.</w:t>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 xml:space="preserve">The modest mass-loss variation across </w:t>
            </w:r>
            <w:proofErr w:type="spellStart"/>
            <w:r w:rsidRPr="00646011">
              <w:rPr>
                <w:color w:val="000000"/>
                <w:sz w:val="20"/>
              </w:rPr>
              <w:t>kf</w:t>
            </w:r>
            <w:proofErr w:type="spellEnd"/>
            <w:r w:rsidRPr="00646011">
              <w:rPr>
                <w:color w:val="000000"/>
                <w:sz w:val="20"/>
              </w:rPr>
              <w:t>=50–200</w:t>
            </w:r>
            <w:r>
              <w:rPr>
                <w:color w:val="000000"/>
                <w:sz w:val="20"/>
              </w:rPr>
              <w:t xml:space="preserve"> </w:t>
            </w:r>
            <w:r w:rsidRPr="00646011">
              <w:rPr>
                <w:color w:val="000000"/>
                <w:sz w:val="20"/>
              </w:rPr>
              <w:t xml:space="preserve">reflects saturation rather than an insignificant corrosion-product effect. Removing corrosion-product formation entirely increases the </w:t>
            </w:r>
            <w:proofErr w:type="gramStart"/>
            <w:r w:rsidRPr="00646011">
              <w:rPr>
                <w:color w:val="000000"/>
                <w:sz w:val="20"/>
              </w:rPr>
              <w:t>672 h</w:t>
            </w:r>
            <w:proofErr w:type="gramEnd"/>
            <w:r w:rsidRPr="00646011">
              <w:rPr>
                <w:color w:val="000000"/>
                <w:sz w:val="20"/>
              </w:rPr>
              <w:t xml:space="preserve"> mass loss from 0.33% to 0.74%, demonstrating its substantial influence on degradation.</w:t>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Figure 5c represents a diffuse, volumetric corrosion-product accumulation rather than a physically resolved surface film. The terminology has therefore been revised throughout the manuscript to describe FFF as a homogenized corrosion-product field that modifies local diffusivity.</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 xml:space="preserve">Oxygen depletion in the static electrolyte contributes to the observed </w:t>
            </w:r>
            <w:r w:rsidRPr="00646011">
              <w:rPr>
                <w:color w:val="000000"/>
                <w:sz w:val="20"/>
              </w:rPr>
              <w:t>deceleration but</w:t>
            </w:r>
            <w:r w:rsidRPr="00646011">
              <w:rPr>
                <w:color w:val="000000"/>
                <w:sz w:val="20"/>
              </w:rPr>
              <w:t xml:space="preserve"> does not fully explain it. Removing the corrosion-product effect increases the time exponent from n=0.4</w:t>
            </w:r>
            <w:r>
              <w:rPr>
                <w:color w:val="000000"/>
                <w:sz w:val="20"/>
              </w:rPr>
              <w:t xml:space="preserve"> </w:t>
            </w:r>
            <w:r w:rsidRPr="00646011">
              <w:rPr>
                <w:color w:val="000000"/>
                <w:sz w:val="20"/>
              </w:rPr>
              <w:t xml:space="preserve">to 0.69 and raises the </w:t>
            </w:r>
            <w:r w:rsidRPr="00646011">
              <w:rPr>
                <w:color w:val="000000"/>
                <w:sz w:val="20"/>
              </w:rPr>
              <w:t>672-h</w:t>
            </w:r>
            <w:r w:rsidRPr="00646011">
              <w:rPr>
                <w:color w:val="000000"/>
                <w:sz w:val="20"/>
              </w:rPr>
              <w:t xml:space="preserve"> mass loss from 0.333% to 0.744%, indicating that the corrosion-product field provides an additional resistance that becomes progressively more important over time.</w:t>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 xml:space="preserve">Ablation simulations confirm that the deceleration arises from both oxygen depletion in the static electrolyte and progressive corrosion-product accumulation. Setting </w:t>
            </w:r>
            <w:proofErr w:type="spellStart"/>
            <w:r w:rsidRPr="00CA6A0B">
              <w:rPr>
                <w:color w:val="000000"/>
                <w:sz w:val="20"/>
              </w:rPr>
              <w:t>Deff</w:t>
            </w:r>
            <w:proofErr w:type="spellEnd"/>
            <w:r>
              <w:rPr>
                <w:color w:val="000000"/>
                <w:sz w:val="20"/>
              </w:rPr>
              <w:t>=</w:t>
            </w:r>
            <w:r w:rsidRPr="00CA6A0B">
              <w:rPr>
                <w:color w:val="000000"/>
                <w:sz w:val="20"/>
              </w:rPr>
              <w:t xml:space="preserve">D increased the </w:t>
            </w:r>
            <w:proofErr w:type="gramStart"/>
            <w:r w:rsidRPr="00CA6A0B">
              <w:rPr>
                <w:color w:val="000000"/>
                <w:sz w:val="20"/>
              </w:rPr>
              <w:t>672 h</w:t>
            </w:r>
            <w:proofErr w:type="gramEnd"/>
            <w:r w:rsidRPr="00CA6A0B">
              <w:rPr>
                <w:color w:val="000000"/>
                <w:sz w:val="20"/>
              </w:rPr>
              <w:t xml:space="preserve"> mass loss from 0.333% to 0.744%, while </w:t>
            </w:r>
            <w:proofErr w:type="spellStart"/>
            <w:r w:rsidRPr="00CA6A0B">
              <w:rPr>
                <w:color w:val="000000"/>
                <w:sz w:val="20"/>
              </w:rPr>
              <w:t>kf</w:t>
            </w:r>
            <w:proofErr w:type="spellEnd"/>
            <w:r w:rsidRPr="00CA6A0B">
              <w:rPr>
                <w:color w:val="000000"/>
                <w:sz w:val="20"/>
              </w:rPr>
              <w:t>=0 produced a similar value of 0.730%.</w:t>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has been replaced with corrosion-product saturation, F/Fmax where F is the local corrosion-product concentration and Fmax=4.2045×10−3 g mm−3. The figure labels, caption, and Methods have been revised to define the quantity and specify how it is spatially evaluated.</w:t>
            </w:r>
          </w:p>
        </w:tc>
        <w:tc>
          <w:tcPr>
            <w:tcW w:w="1587" w:type="dxa"/>
          </w:tcPr>
          <w:p w14:paraId="048B5195" w14:textId="77777777" w:rsidR="00660073" w:rsidRDefault="00000000">
            <w:r>
              <w:rPr>
                <w:sz w:val="20"/>
              </w:rPr>
              <w:t>Closed</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 xml:space="preserve">The model does not explicitly include the </w:t>
            </w:r>
            <w:proofErr w:type="gramStart"/>
            <w:r w:rsidRPr="00CA6A0B">
              <w:rPr>
                <w:color w:val="000000"/>
                <w:sz w:val="20"/>
              </w:rPr>
              <w:t>48 h</w:t>
            </w:r>
            <w:proofErr w:type="gramEnd"/>
            <w:r w:rsidRPr="00CA6A0B">
              <w:rPr>
                <w:color w:val="000000"/>
                <w:sz w:val="20"/>
              </w:rPr>
              <w:t xml:space="preserve"> medium renewal</w:t>
            </w:r>
            <w:r>
              <w:rPr>
                <w:color w:val="000000"/>
                <w:sz w:val="20"/>
              </w:rPr>
              <w:t>,</w:t>
            </w:r>
            <w:r w:rsidRPr="00CA6A0B">
              <w:rPr>
                <w:color w:val="000000"/>
                <w:sz w:val="20"/>
              </w:rPr>
              <w:t xml:space="preserve"> </w:t>
            </w:r>
            <w:r>
              <w:rPr>
                <w:color w:val="000000"/>
                <w:sz w:val="20"/>
              </w:rPr>
              <w:t>and experiments are static; therefore, no natural convection is assumed</w:t>
            </w:r>
            <w:r w:rsidRPr="00CA6A0B">
              <w:rPr>
                <w:color w:val="000000"/>
                <w:sz w:val="20"/>
              </w:rPr>
              <w:t xml:space="preserve"> (u=0). Instead, oxygen is continuously replenished at the electrolyte–air interface, while Zn²⁺ accumulation is not reset. A fixed boundary oxygen concentration increased the predicted 672 h mass loss by approximately 30% and eliminated the domain-size dependence. These assumptions and their implications for the Zn²⁺ comparison in Figure 5e have now been clarified in the Methods and Discussion.</w:t>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The disc and stent were simulated within the same 30 × 30 × 30 mm electrolyte domain under identical boundary conditions. The “three times larger” statement referred to the minimum domain-size criterion, not geometry-specific domains. Therefore, the difference in transition time, approximately 40 h for the disc and 100 h for the stent, is not caused by different oxygen diffusion paths. The Methods have been clarified accordingly, while the Results now acknowledge that absolute transition times remain dependent on the domain and oxygen boundary condition.</w:t>
            </w:r>
          </w:p>
        </w:tc>
        <w:tc>
          <w:tcPr>
            <w:tcW w:w="1587" w:type="dxa"/>
          </w:tcPr>
          <w:p w14:paraId="7E40DCB1" w14:textId="77777777" w:rsidR="00660073" w:rsidRDefault="00000000">
            <w:r>
              <w:rPr>
                <w:sz w:val="20"/>
              </w:rPr>
              <w:t>Closed</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C_O₂=3.5 mg L−1 was adopted from physiological literature but is lower than air-saturated saline at 37 °C. Because the ORR-limited rate depends on kORR.C_O₂, the fitted kORR​ should be interpreted as an effective parameter that may compensate for this oxygen-concentration mismatch. This limitation affects the absolute degradation rates and transferability between in vitro and physiological conditions, but not the relative geometry comparison because both geometries use the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The vessel geometry and liquid height are now specified. Domain-size and oxygen-resupply sensitivity tests have been added, and the choice of C_O₂ is justified separately for the in vitro and physiological simulations.</w:t>
            </w:r>
          </w:p>
        </w:tc>
        <w:tc>
          <w:tcPr>
            <w:tcW w:w="1587" w:type="dxa"/>
          </w:tcPr>
          <w:p w14:paraId="3660970D" w14:textId="77777777" w:rsidR="00660073" w:rsidRDefault="00000000">
            <w:r>
              <w:rPr>
                <w:sz w:val="20"/>
              </w:rPr>
              <w:t>Closed</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val="0"/>
                <w:color w:val="000000"/>
                <w:sz w:val="20"/>
              </w:rPr>
              <w:t>The calibration (r-SBF, Tris-buffered, 14 days) and validation (HBSS, 28 days) media differ chemically, which contributes to the difference in RMSE. The calibration data also show rapid mass loss towards the end of the 336 h period. The authors attribute this to localized corrosion, but cleaning inaccuracies and complex corrosion-product formation may contribute as well. The model does not represent these effects, and this is acknowledged as a limitation.</w:t>
            </w:r>
          </w:p>
        </w:tc>
        <w:tc>
          <w:tcPr>
            <w:tcW w:w="1587" w:type="dxa"/>
          </w:tcPr>
          <w:p w14:paraId="709655BA" w14:textId="77777777" w:rsidR="003F785C" w:rsidRDefault="00E9439A">
            <w:r>
              <w:rPr>
                <w:sz w:val="20"/>
              </w:rPr>
              <w:t>Closed</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i w:val="0"/>
                <w:color w:val="000000"/>
                <w:sz w:val="20"/>
              </w:rPr>
              <w:t>The in vivo timescale cannot justify a ZnO-only representation for the in vitro simulations, as additional corrosion products form within hours to days. The in vivo justification has therefore been removed, and the model is now described as a homogenized ZnO-based representation that does not explicitly resolve phosphate-, carbonate-, calcium-, or chloride-containing phases. This has been added to limitations</w:t>
            </w:r>
            <w:proofErr w:type="spellStart"/>
            <w:proofErr w:type="spellEnd"/>
            <w:proofErr w:type="spellStart"/>
            <w:proofErr w:type="spellEnd"/>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i w:val="0"/>
                <w:color w:val="000000"/>
                <w:sz w:val="20"/>
              </w:rPr>
              <w:t>With the final calibration the two errors are comparable: the calibration RMSE is 0.0173% (Fig. 3b, Table 2) and the validation RMSE is 0.0159%, so the validation error is not unusually low. The earlier gap (0.042% vs 0.0159%) arose from an earlier calibration that also scored non-mass-loss targets. The remaining small difference is expected. The calibration data (Liu et al.) were measured in r-SBF, which has more complex chemistry (extra ions, Tris buffer, more precipitation), whereas the validation data were measured in Ca/Mg-free HBSS, which is simpler and closer to the single effective ZnO phase assumed by the model. The two RMSE values are also not directly comparable, because the validation error is small relative to the experimental scatter (SD = 0.115% at 28 days, n = 3), so the validation cannot discriminate between parameter sets that differ by less than this scatter.</w:t>
            </w:r>
          </w:p>
        </w:tc>
        <w:tc>
          <w:tcPr>
            <w:tcW w:w="1587" w:type="dxa"/>
          </w:tcPr>
          <w:p w14:paraId="0C4A546A" w14:textId="77777777" w:rsidR="00660073" w:rsidRDefault="00000000">
            <w:r>
              <w:rPr>
                <w:sz w:val="20"/>
              </w:rPr>
              <w:t>Closed</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i w:val="0"/>
                <w:color w:val="000000"/>
                <w:sz w:val="20"/>
              </w:rPr>
              <w:t>A validation table has been added to the SI (Table S11) with the experimental mean ± SD (n = 3), simulated value, error and error/SD at each time. The validation RMSE of 0.0159% is 8.6% of the mean (5.1% of the 28-day value), and all simulated points lie within 0.35 SD. The calibration RMSE of 0.042% is about 24% of the mean literature value. The fit lies within the experimental scatter, so the validation cannot discriminate between models that differ by less than this scatter.</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i w:val="0"/>
                <w:color w:val="000000"/>
                <w:sz w:val="20"/>
              </w:rPr>
              <w:t>The first measurement is at 24 h, so the experiments do not constrain the reaction-to-diffusion transition, which is a model prediction. The simulations resolve this period (Δt = 0.25 h, saved hourly), so the Damköhler number and corrosion rate (Fig. 5b) are resolved from the first hours. The predicted transition times (about 40 h for the disc, about 100 h for the stent) are therefore model predictions that are not validated at earlier times. Measurements before 24 h are needed to test them and are left for future work.</w:t>
            </w:r>
            <w:proofErr w:type="gramStart"/>
            <w:proofErr w:type="gramEnd"/>
            <w:proofErr w:type="spellStart"/>
            <w:proofErr w:type="spellEnd"/>
          </w:p>
        </w:tc>
        <w:tc>
          <w:tcPr>
            <w:tcW w:w="1587" w:type="dxa"/>
          </w:tcPr>
          <w:p w14:paraId="6BB41582" w14:textId="77777777" w:rsidR="00660073" w:rsidRDefault="00000000">
            <w:r>
              <w:rPr>
                <w:sz w:val="20"/>
              </w:rPr>
              <w:t>Closed</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i w:val="0"/>
                <w:color w:val="000000"/>
                <w:sz w:val="20"/>
              </w:rPr>
              <w:t>The 14- and 28-day masses (3.03 ± 0.74 and 3.67 ± 1.33 mg, n = 3; p ≈ 0.5) are not statistically distinguishable, so the later change lies within the experimental scatter. The manuscript does not claim a plateau: it describes a high initial mass loss (about 67% of the 28-day loss in the first week) followed by deceleration.</w:t>
            </w:r>
          </w:p>
        </w:tc>
        <w:tc>
          <w:tcPr>
            <w:tcW w:w="1587" w:type="dxa"/>
          </w:tcPr>
          <w:p w14:paraId="0ACDE2AA" w14:textId="77777777" w:rsidR="00660073" w:rsidRDefault="00000000">
            <w:r>
              <w:rPr>
                <w:sz w:val="20"/>
              </w:rPr>
              <w:t>Closed</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i w:val="0"/>
                <w:color w:val="000000"/>
                <w:sz w:val="20"/>
              </w:rPr>
              <w:t>Pearson r has been removed from the Zn²⁺ and pH comparison, since a correlation coefficient is not meaningful for two monotonic saturating curves. Errors at 336 h are reported instead (Zn²⁺ 44%, pH 2.8%, i.e. 0.21 pH units). The Zn²⁺ and pH comparisons are interpreted qualitatively: the model has no buffer, whereas the literature medium (r-SBF) is Tris-buffered and forms further precipitates, which limits the late-stage rise of both quantities (as stated in the Results).</w:t>
            </w:r>
            <w:proofErr w:type="gramStart"/>
            <w:proofErr w:type="gramEnd"/>
          </w:p>
        </w:tc>
        <w:tc>
          <w:tcPr>
            <w:tcW w:w="1587" w:type="dxa"/>
          </w:tcPr>
          <w:p w14:paraId="6514AEA0" w14:textId="77777777" w:rsidR="00660073" w:rsidRDefault="00000000">
            <w:r>
              <w:rPr>
                <w:sz w:val="20"/>
              </w:rPr>
              <w:t>Closed</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The results reported in Fig. 3b, Table 2 and Table S10 are those of the final BO run. The final BO was rerun with all three phases scored on mass loss only (two independent repeats, 28 evaluations each: 12-point Latin hypercube, 8 expected-improvement and 8 local points), so the earlier 0.046% / 0.042% comparison no longer applies (Fig. 3b, Table S10). The best RMSE is 0.0173% (repeat 1, iteration 25, local phase) and 0.0178% (repeat 2, iteration 20, EI phase). Neither optimum is a Latin-hypercube point: the best Phase 1 values are 0.0192% (repeat 1) and 0.0240% (repeat 2), so the guided phases improve RMSE by 10% and 26%. The flat landscape is a result, not a convergence failure. All points within 1.5× the best RMSE (25 of 56) have k_ORR confined to 0.15–0.19, while k_f spans 2.2–96 and k_d 0.6–93. Mass loss therefore constrains k_ORR but not k_f or k_d individually (Results, Section 3.3). The two repeats agree on k_ORR (0.161 vs 0.156), and their best RMSEs differ by 3%, far below the experimental scatter (SD = 0.115% at 28 days). Selecting the repeat 1 optimum for Table 2 is therefore immaterial for the predictions.</w:t>
            </w:r>
          </w:p>
        </w:tc>
        <w:tc>
          <w:tcPr>
            <w:tcW w:w="1587" w:type="dxa"/>
          </w:tcPr>
          <w:p w14:paraId="4C8928EC" w14:textId="77777777" w:rsidR="003F785C" w:rsidRDefault="00E9439A">
            <w:r>
              <w:rPr>
                <w:sz w:val="20"/>
              </w:rPr>
              <w:t>Closed</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i w:val="0"/>
                <w:color w:val="000000"/>
                <w:sz w:val="20"/>
              </w:rPr>
              <w:t>k_f is the least influential of the three calibrated parameters (Fig. 3a), consistent with its bounded effect on mass loss (see A2.2). The sensitivity analysis (Fig. 3a) and the optimization (Fig. 3b; parameter trajectories in Supplementary Fig. 6b) already characterize the parameter behavior, so a separate profile likelihood or posterior is not needed. Among the 25 evaluations within 1.5× the best RMSE (both repeats), k_ORR is tightly constrained (0.15–0.19), whereas k_f (2.2–96) and k_d (0.6–93) span more than one decade each. The Spearman rank correlations (log10 values) are weak between k_f and k_d (0.11) and moderate between k_d and k_ORR (−0.50), so k_f and k_d are unconstrained rather than degenerate through their ratio. Only k_ORR is therefore reported as identified; k_f and k_d are treated as effective parameters whose individual values are not interpreted. The predictions are insensitive to this, because all near-optimal points reproduce the 0–336 h mass loss.</w:t>
            </w:r>
            <w:proofErr w:type="spellStart"/>
            <w:proofErr w:type="spellEnd"/>
            <w:proofErr w:type="spellStart"/>
            <w:proofErr w:type="spellEnd"/>
            <w:proofErr w:type="spellStart"/>
            <w:proofErr w:type="spellEnd"/>
            <w:proofErr w:type="spellStart"/>
            <w:proofErr w:type="spellEnd"/>
          </w:p>
        </w:tc>
        <w:tc>
          <w:tcPr>
            <w:tcW w:w="1587" w:type="dxa"/>
          </w:tcPr>
          <w:p w14:paraId="04F7174A" w14:textId="77777777" w:rsidR="003F785C" w:rsidRDefault="00E9439A">
            <w:r>
              <w:rPr>
                <w:sz w:val="20"/>
              </w:rPr>
              <w:t>Closed</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The GSA targeted the parameters that are uncertain and enter the calibration (kinetic constants, O₂ concentration and diffusivities; ranges in Table S5). ε and τ were fixed because they are not readily available from the literature or experiments, so literature-based estimates were used. F_max was not an independent parameter: it was calculated from the Langmuir saturation formulation given in the manuscript (F_max = ρ_film(1 − ε)). [Zn]_sat was taken from the literature, with the reference listed in the manuscript. The role of the corrosion-product mechanism was assessed separately: removing corrosion-product formation entirely raises the 672 h mass loss from 0.33% to 0.74% (A2.2), and the k_f and k_d sweeps (Fig. 4) show its effect on mass loss, saturation and interfacial O₂. Because ε and τ are fixed estimates, the absolute corrosion-product transport resistance is uncertain, which is stated in the Limitations.</w:t>
            </w:r>
          </w:p>
        </w:tc>
        <w:tc>
          <w:tcPr>
            <w:tcW w:w="1587" w:type="dxa"/>
          </w:tcPr>
          <w:p w14:paraId="450679D0" w14:textId="77777777" w:rsidR="003F785C" w:rsidRDefault="00E9439A">
            <w:r>
              <w:rPr>
                <w:sz w:val="20"/>
              </w:rPr>
              <w:t>Closed</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Oxygen-reduction-limited dissolution is a modelling premise (Eqs. 1–2), built on experimentally observed oxygen control of Zn degradation, so the Morris ranking alone does not show that oxygen controls degradation; it only shows how the model responds to O₂. The test that the model captures this behaviour is therefore not the sensitivity ranking but its agreement with data not used in calibration: the 28-day immersion data (RMSE = 0.0159%) and the stent prediction (about 6%). These results show that the oxygen-controlled formulation reproduces the measured mass loss. The model also allows a reaction-limited stage (v_n is the limiting of three velocities), so oxygen control is not forced at all times. This supports the assumption within the tested conditions but does not prove oxygen control in vivo.</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Closed</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The disc area from the mesh (219.9 mm²) matches the ideal 10 × 2 mm geometry (SA:V = 1.40 mm⁻¹), and the stent mesh gives 0.361 mm³ and 19.46 mm² (SA:V = 53.9 mm⁻¹), a ratio of 38.5. Scaling the 672 h disc mass loss (0.333% simulated, 0.311% measured) gives an SA:V-extrapolated stent value of 12.8% (12.0% from experiment), about twice the model’s 6.0%. The model recedes less (mean depth 1.1 µm vs 2.4 µm for the disc) because oxygen transport is restricted in the dense stent geometry. Table S4 has been corrected. The near-linear dependence of mass loss on SA:V is expected and is reported in the literature, so a similar or higher SA:V-scaled value is not evidence against the model. The model's added value is that transport control reduces the overall stent mass loss only moderately relative to this scaling (6.0% vs 12.8%) but changes where material is lost strongly: recession is concentrated on the oxygen-accessible outer surface and suppressed in the confined regions (Figs. 7–8), which SA:V scaling cannot capture.</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Closed</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The spatial distribution of degradation is the main added value of the model. It is shown by the individual simulations (Figs. 7 and 8), each compared with its baseline: the six-crown stent against the disc (Fig. 6) and the curved and spaced structures against the straight, widely spaced reference (Fig. 8). The baseline comparisons show that global mass loss changes only modestly, whereas the spatial distribution of recession changes strongly.</w:t>
            </w:r>
            <w:r>
              <w:rPr>
                <w:sz w:val="20"/>
              </w:rPr>
            </w:r>
            <w:r w:rsidRPr="004F7C38">
              <w:rPr>
                <w:sz w:val="20"/>
              </w:rPr>
            </w:r>
            <w:r>
              <w:rPr>
                <w:sz w:val="20"/>
              </w:rPr>
            </w:r>
            <w:r>
              <w:rPr>
                <w:i/>
                <w:color w:val="808080"/>
                <w:sz w:val="20"/>
              </w:rPr>
            </w:r>
          </w:p>
        </w:tc>
        <w:tc>
          <w:tcPr>
            <w:tcW w:w="1587" w:type="dxa"/>
          </w:tcPr>
          <w:p w14:paraId="052F6F47" w14:textId="7B0D9FA4" w:rsidR="004F7C38" w:rsidRDefault="004F7C38" w:rsidP="004F7C38">
            <w:r>
              <w:rPr>
                <w:color w:val="000000"/>
                <w:sz w:val="20"/>
              </w:rPr>
              <w:t>Closed</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The full representative six-crown stent geometry and computational settings are provided in Table S4 and Figure S4. The reference list now also cites the Yang et al. study, which supplied the in vivo mass-loss comparison, in addition to the review.</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The Abstract and Conclusions now state that the predicted one-month mass loss of approximately 6% is of the same order of magnitude as reported in vivo observations, rather than “consistent with” them. This wording accounts for unmodelled in vivo factors, including flow, protein adsorption, and differences in oxygen supply.</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Because the ORR is localized at the moving metal</w:t>
            </w:r>
            <w:r w:rsidR="003914C2">
              <w:rPr>
                <w:color w:val="000000"/>
                <w:sz w:val="20"/>
              </w:rPr>
              <w:t>-</w:t>
            </w:r>
            <w:r w:rsidRPr="004E2B70">
              <w:rPr>
                <w:color w:val="000000"/>
                <w:sz w:val="20"/>
              </w:rPr>
              <w:t>electrolyte interface, the interfacial oxygen concentration and normal oxygen gradient are evaluated using probes positioned within the electrolyte. The ORR branch estimates the reaction-supported recession rate, while the diffusion branch limits recession to the oxygen flux available in the discrete concentration field. Their selection is therefore a numerical mass-supply safeguard rather than two independent physical mechanisms.</w:t>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lastRenderedPageBreak/>
              <w:t>[Zn]sat​ in Eq. 14 is the interfacial Stefan-</w:t>
            </w:r>
            <w:r w:rsidRPr="009E36D0">
              <w:rPr>
                <w:color w:val="000000"/>
                <w:sz w:val="20"/>
              </w:rPr>
              <w:lastRenderedPageBreak/>
              <w:t xml:space="preserve">condition value, not a precipitation threshold. Equation 11 instead uses an effective first-order law in which </w:t>
            </w:r>
            <w:proofErr w:type="spellStart"/>
            <w:r w:rsidRPr="009E36D0">
              <w:rPr>
                <w:color w:val="000000"/>
                <w:sz w:val="20"/>
              </w:rPr>
              <w:t>kf</w:t>
            </w:r>
            <w:proofErr w:type="spellEnd"/>
            <w:r w:rsidRPr="009E36D0">
              <w:rPr>
                <w:color w:val="000000"/>
                <w:sz w:val="20"/>
              </w:rPr>
              <w:t>​ lumps unresolved nucleation, supersaturation, and speciation effects. This simplification, including the Zn²⁺ overprediction of 57 versus approximately 40 mg L−1, is now acknowledged as a limitation.</w:t>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i w:val="0"/>
                <w:color w:val="000000"/>
                <w:sz w:val="20"/>
              </w:rPr>
              <w:t>The implementation is mass-based: F and F_max are in g mm⁻³ (F_max = ρ_film(1−ε)), and Cl⁻ enters the dissolution rate as a molar concentration, so k_d has units L² mol⁻² h⁻¹. The Eq. 11 text now defines F_max on this mass basis, and Table 2 and Table S5 now give k_d in L² mol⁻² h⁻¹.</w:t>
            </w:r>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06DF3BC0" w14:textId="77777777" w:rsidR="003F785C" w:rsidRDefault="00E9439A">
            <w:r>
              <w:rPr>
                <w:color w:val="000000"/>
                <w:sz w:val="20"/>
              </w:rPr>
              <w:t>Closed</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i w:val="0"/>
                <w:color w:val="000000"/>
                <w:sz w:val="20"/>
              </w:rPr>
              <w:t>The C_Cl exponent in Eq. 11 is an effective (empirical) reaction order, not the stoichiometric one, since Eq. 5 is an overall reaction and the dissolution is not an elementary step. The manuscript now states this, and k_d is a calibrated effective coefficient with units L² mol⁻² h⁻¹. Cl⁻ is treated as conserved (Eq. 8 has no sink) because it is in large excess (142.3 mmol L⁻¹): the upper-bound consumption is about 6% for the disc and below 1% for the stent. ‘Catalytic’ has been replaced by ‘effectively non-consumed’.</w:t>
            </w:r>
            <w:proofErr w:type="spellStart"/>
            <w:proofErr w:type="spellEnd"/>
            <w:proofErr w:type="spellStart"/>
            <w:proofErr w:type="spellEnd"/>
            <w:proofErr w:type="spellStart"/>
            <w:proofErr w:type="spellEnd"/>
            <w:proofErr w:type="gramStart"/>
            <w:proofErr w:type="gramEnd"/>
          </w:p>
        </w:tc>
        <w:tc>
          <w:tcPr>
            <w:tcW w:w="1587" w:type="dxa"/>
          </w:tcPr>
          <w:p w14:paraId="391612AE" w14:textId="77777777" w:rsidR="003F785C" w:rsidRDefault="00E9439A">
            <w:r>
              <w:rPr>
                <w:color w:val="000000"/>
                <w:sz w:val="20"/>
              </w:rPr>
              <w:t>Closed</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i w:val="0"/>
                <w:color w:val="000000"/>
                <w:sz w:val="20"/>
              </w:rPr>
              <w:t>The film is a homogenised, volumetric field on a fixed mesh that forms wherever Zn²⁺ is present on the electrolyte side of the level set and reduces the local diffusivity (Eq. 12). It is not attached to the receding interface, and the ZnO/Zn volume ratio (about 1.6) is not represented. This is stated as a limitation.</w:t>
            </w:r>
            <w:proofErr w:type="spellStart"/>
            <w:proofErr w:type="spellEnd"/>
            <w:proofErr w:type="spellStart"/>
            <w:proofErr w:type="spellEnd"/>
            <w:proofErr w:type="spellStart"/>
            <w:proofErr w:type="spellEnd"/>
          </w:p>
        </w:tc>
        <w:tc>
          <w:tcPr>
            <w:tcW w:w="1587" w:type="dxa"/>
          </w:tcPr>
          <w:p w14:paraId="057CFF9F" w14:textId="77777777" w:rsidR="003F785C" w:rsidRDefault="00E9439A">
            <w:r>
              <w:rPr>
                <w:color w:val="000000"/>
                <w:sz w:val="20"/>
              </w:rPr>
              <w:t>Closed</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i w:val="0"/>
                <w:color w:val="000000"/>
                <w:sz w:val="20"/>
              </w:rPr>
              <w:t>δ_Γ is a sharp surface integral over the zero level set of the P1 signed-distance function (FreeFEM int2d with the levelset option), with no smoothing parameter. A smoothed delta (width equal to the minimum mesh size) is used only in post-processing averages. This is stated in the Methods.</w:t>
            </w:r>
            <w:proofErr w:type="gramStart"/>
            <w:proofErr w:type="gramEnd"/>
            <w:proofErr w:type="spellStart"/>
            <w:proofErr w:type="spellEnd"/>
            <w:proofErr w:type="spellStart"/>
            <w:proofErr w:type="spellEnd"/>
            <w:proofErr w:type="spellStart"/>
            <w:proofErr w:type="spellEnd"/>
            <w:proofErr w:type="spellStart"/>
            <w:proofErr w:type="spellEnd"/>
          </w:p>
        </w:tc>
        <w:tc>
          <w:tcPr>
            <w:tcW w:w="1587" w:type="dxa"/>
          </w:tcPr>
          <w:p w14:paraId="6D6F831A" w14:textId="77777777" w:rsidR="003F785C" w:rsidRDefault="00E9439A">
            <w:r>
              <w:rPr>
                <w:color w:val="000000"/>
                <w:sz w:val="20"/>
              </w:rPr>
              <w:t>Closed</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i w:val="0"/>
                <w:color w:val="000000"/>
                <w:sz w:val="20"/>
              </w:rPr>
              <w:t>‘Low-dimensional’ and ‘three-parameter’ have been removed from the Abstract, since parameter count and mesh size are separate. The 18.9-million-element mesh is used only for the final validation run (68.9 h on 50 cores). Calibration used a coarse mesh (37,399 tetrahedra, about 20 min per run on 4 cores), corrected to the fine mesh with a linear bias correction (r = 0.9986; Methods 2.4). An axisymmetric model would be cheaper for calibration, but the 3D formulation was kept so that calibration and the stent prediction use the same model.</w:t>
            </w:r>
          </w:p>
        </w:tc>
        <w:tc>
          <w:tcPr>
            <w:tcW w:w="1587" w:type="dxa"/>
          </w:tcPr>
          <w:p w14:paraId="2243CAB6" w14:textId="77777777" w:rsidR="003F785C" w:rsidRDefault="00E9439A">
            <w:r>
              <w:rPr>
                <w:color w:val="000000"/>
                <w:sz w:val="20"/>
              </w:rPr>
              <w:t>Closed</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val="0"/>
                <w:color w:val="000000"/>
                <w:sz w:val="20"/>
              </w:rPr>
              <w:t>The stent interface mesh size is 5 µm (minimum element size 0.005 mm, Table S4), comparable to the 3–8 µm local recession (about one element). This does not make the results noise, for three reasons. First, the interface is not a mesh feature: it is the zero contour of the P1 signed-distance function, which is located by interpolation inside elements, so recession smaller than one element is still represented in the interface position. Second, the quantities used for the conclusions are integrated: mass loss and mean penetration are mesh-converged (&lt;1%, Section S2), and the geometry effects rest on outer/inner differences of several µm, which exceed the element size. Third, the sub-element roughness in the local profiles of Fig. 7a is at the discretisation scale and is not interpreted physically.</w:t>
            </w:r>
          </w:p>
        </w:tc>
        <w:tc>
          <w:tcPr>
            <w:tcW w:w="1587" w:type="dxa"/>
          </w:tcPr>
          <w:p w14:paraId="6E11FE36" w14:textId="77777777" w:rsidR="003F785C" w:rsidRDefault="00E9439A">
            <w:r>
              <w:rPr>
                <w:sz w:val="20"/>
              </w:rPr>
              <w:t>Closed</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The original sweeps used k_f = 100, k_d = 30 and k_ORR = 1.0, giving 0.39% at 168 h against about 0.19% in Fig. 5a. Fig. 4 has been recomputed around k_f = 35, k_d = 27 and k_ORR = 0.5 (middle curves); the baseline now gives 0.20% at 168 h, matching Fig. 5a. Each parameter is varied above and below this baseline (k_f = 5–150, k_d = 5–120, k_ORR = 0.1–2.5) with the others held fixed.</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Closed</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i w:val="0"/>
                <w:color w:val="000000"/>
                <w:sz w:val="20"/>
              </w:rPr>
              <w:t>The text ranges were wrong. From the Fig. 8c data, mean penetration depth is 2.4–2.7 µm for the curved wires and 2.1–2.4 µm for the spacing configurations. The Results now give these ranges.</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SD of the local penetration depth around the cross-section perimeter. The caption now says so.</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i w:val="0"/>
                <w:color w:val="000000"/>
                <w:sz w:val="20"/>
              </w:rPr>
              <w:t>The two ratios are taken from two different places: 13.2× is the outer/inner depth of the isolated 150° arc (Fig. 8d), and 1.8× is the outer/inner depth at the stent crown (Fig. 7d; 8.55 and 4.76 µm). The 13.2× has a very small denominator (0.28 µm, below the interface mesh size), so it is poorly constrained, and the absolute differences are similar (3.4 µm for the arc, 3.8 µm for the crown). The ratios also differ in geometry: the isolated 150° arc (radius 0.63 mm) confines its inner side more strongly than the crown within the stent.</w:t>
            </w:r>
            <w:proofErr w:type="gramStart"/>
            <w:proofErr w:type="gramEnd"/>
          </w:p>
        </w:tc>
        <w:tc>
          <w:tcPr>
            <w:tcW w:w="1587" w:type="dxa"/>
          </w:tcPr>
          <w:p w14:paraId="00430183" w14:textId="77777777" w:rsidR="003F785C" w:rsidRDefault="00E9439A">
            <w:r>
              <w:rPr>
                <w:color w:val="000000"/>
                <w:sz w:val="20"/>
              </w:rPr>
              <w:t>Closed</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The balance resolution was 0.1 mg. Blank cleaning controls were not performed; however, all samples were cleaned using the same protocol (chromic acid at room temperature for 10 min), minimizing systematic bias between groups. The 0.1 mg resolution is small relative to the measured mass losses, and the experimental scatter (SD = 0.115% at 28 days, n = 3) is much larger than the balance resolution. The absence of blank controls means any cleaning-induced loss of bare Zn is not quantified separately.</w:t>
            </w:r>
          </w:p>
        </w:tc>
        <w:tc>
          <w:tcPr>
            <w:tcW w:w="1587" w:type="dxa"/>
          </w:tcPr>
          <w:p w14:paraId="57AEB8DC" w14:textId="77777777" w:rsidR="003F785C" w:rsidRDefault="00E9439A">
            <w:r>
              <w:rPr>
                <w:sz w:val="20"/>
              </w:rPr>
              <w:t>Closed</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The corrosion products were removed with chromic acid at room temperature for 10 min. The discs were immersed lying flat (horizontal orientation). No CO₂ incubator was used; the immersion was static at 37 °C. The HBSS pH was 7.4 and is now stated in the Methods.</w:t>
            </w:r>
          </w:p>
        </w:tc>
        <w:tc>
          <w:tcPr>
            <w:tcW w:w="1587" w:type="dxa"/>
          </w:tcPr>
          <w:p w14:paraId="01FD47B6" w14:textId="77777777" w:rsidR="003F785C" w:rsidRDefault="00E9439A">
            <w:r>
              <w:rPr>
                <w:sz w:val="20"/>
              </w:rPr>
              <w:t>Closed</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val="0"/>
                <w:color w:val="000000"/>
                <w:sz w:val="20"/>
              </w:rPr>
              <w:t>ICP measurement of Zn²⁺ in the refreshed solution was not performed in this study. This is now stated in the Limitations as a needed independent check.</w:t>
            </w:r>
          </w:p>
        </w:tc>
        <w:tc>
          <w:tcPr>
            <w:tcW w:w="1587" w:type="dxa"/>
          </w:tcPr>
          <w:p w14:paraId="26CDCDCD" w14:textId="77777777" w:rsidR="003F785C" w:rsidRDefault="00E9439A">
            <w:r>
              <w:rPr>
                <w:sz w:val="20"/>
              </w:rPr>
              <w:t>Closed</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val="0"/>
                <w:color w:val="000000"/>
                <w:sz w:val="20"/>
              </w:rPr>
              <w:t>A direct mechanism test (film thickness from FIB or SEM cross-sections, or a stirred or different-O₂ experiment) was not performed in this study. This is now stated in the Limitations.</w:t>
            </w:r>
          </w:p>
        </w:tc>
        <w:tc>
          <w:tcPr>
            <w:tcW w:w="1587" w:type="dxa"/>
          </w:tcPr>
          <w:p w14:paraId="6A18FA18" w14:textId="77777777" w:rsidR="003F785C" w:rsidRDefault="00E9439A">
            <w:r>
              <w:rPr>
                <w:sz w:val="20"/>
              </w:rPr>
              <w:t>Closed</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This comparison is clearly presented in the Introduction. Given the manuscript’s word limit, a more detailed discussion is not feasible.</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i w:val="0"/>
                <w:color w:val="000000"/>
                <w:sz w:val="20"/>
              </w:rPr>
              <w:t>The Code Availability statement has been removed, and a Data Availability Statement (Zenodo repository, DOI 10.5281/zenodo.23053517) is now included in the manuscript.</w:t>
            </w:r>
            <w:proofErr w:type="spellStart"/>
            <w:proofErr w:type="spellEnd"/>
          </w:p>
        </w:tc>
        <w:tc>
          <w:tcPr>
            <w:tcW w:w="1587" w:type="dxa"/>
          </w:tcPr>
          <w:p w14:paraId="1B21FA7D" w14:textId="77777777" w:rsidR="003F785C" w:rsidRDefault="00E9439A">
            <w:r>
              <w:rPr>
                <w:sz w:val="20"/>
              </w:rPr>
              <w:t>Closed</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The Results state that calibration is computationally tractable (three parameters, coarse mesh, about 2 h per run; Table S4), and the Discussion describes the high-fidelity simulations as computationally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i w:val="0"/>
                <w:color w:val="000000"/>
                <w:sz w:val="20"/>
              </w:rPr>
              <w:t>Section headings are numbered automatically in the submission file, and ‘Section 2.3’ is Numerical Implementation and Simulation Setup. The numbers may have been lost in the reviewer’s version.</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i w:val="0"/>
                <w:color w:val="000000"/>
                <w:sz w:val="20"/>
              </w:rPr>
              <w:t>‘a R²’ is now ‘an R²’ and ‘shown in (Figure 4g–i)’ is now ‘shown in Figure 4g–i’. The capitalised ‘Literature’ appears only in a reference title, so it is unchanged.</w:t>
            </w:r>
            <w:proofErr w:type="spellStart"/>
            <w:proofErr w:type="spellEnd"/>
            <w:proofErr w:type="spellStart"/>
            <w:proofErr w:type="spellEnd"/>
            <w:proofErr w:type="spellStart"/>
            <w:proofErr w:type="spellEnd"/>
            <w:proofErr w:type="spellStart"/>
            <w:proofErr w:type="spellEnd"/>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This has been published with the same different names. The difference comes from the capitalization of the B. Since it will not be updated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Updated both references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i w:val="0"/>
                <w:color w:val="000000"/>
                <w:sz w:val="20"/>
              </w:rPr>
              <w:t>The Damköhler number is defined in the SI (Eq. S3, Section S1) as the ratio of oxygen consumption to oxygen transport. Da &lt; 1 indicates reaction control and Da &gt; 1 diffusion control; the transition is at Da = 1 (about 40 h for the disc). The main text cites Eq. S3 and Section S1.</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67C67E44" w14:textId="77777777" w:rsidR="003F785C" w:rsidRDefault="00E9439A">
      <w:pPr>
        <w:pStyle w:val="Heading1"/>
      </w:pPr>
      <w:r>
        <w:t>Additional changes made by the authors</w:t>
      </w:r>
    </w:p>
    <w:p w14:paraId="44E6D75C" w14:textId="77777777" w:rsidR="003F785C" w:rsidRDefault="00E9439A">
      <w:pPr>
        <w:spacing w:after="120"/>
      </w:pPr>
      <w:r>
        <w:t>The following changes were made in addition to those requested: in the Figure 4 caption "(g-</w:t>
      </w:r>
      <w:proofErr w:type="spellStart"/>
      <w:r>
        <w:t>i</w:t>
      </w:r>
      <w:proofErr w:type="spellEnd"/>
      <w:r>
        <w:t>)" was changed to "(g–</w:t>
      </w:r>
      <w:proofErr w:type="spellStart"/>
      <w:r>
        <w:t>i</w:t>
      </w:r>
      <w:proofErr w:type="spellEnd"/>
      <w:r>
        <w:t>)";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