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S2. Mesh convergence study showing the effect of mesh resolution on predicted 7-day mass loss. Relative errors are calculated with respect to the fine mesh (18.9 million elements).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Fidelity</w:t>
            </w:r>
          </w:p>
        </w:tc>
        <w:tc>
          <w:tcPr>
            <w:tcW w:type="dxa" w:w="2160"/>
          </w:tcPr>
          <w:p>
            <w:r>
              <w:t>Elements</w:t>
            </w:r>
          </w:p>
        </w:tc>
        <w:tc>
          <w:tcPr>
            <w:tcW w:type="dxa" w:w="2160"/>
          </w:tcPr>
          <w:p>
            <w:r>
              <w:t>Mass loss (%)</w:t>
            </w:r>
          </w:p>
        </w:tc>
        <w:tc>
          <w:tcPr>
            <w:tcW w:type="dxa" w:w="2160"/>
          </w:tcPr>
          <w:p>
            <w:r>
              <w:t>Relative error (%)</w:t>
            </w:r>
          </w:p>
        </w:tc>
      </w:tr>
      <w:tr>
        <w:tc>
          <w:tcPr>
            <w:tcW w:type="dxa" w:w="2160"/>
          </w:tcPr>
          <w:p>
            <w:r>
              <w:t>L1 (Very Low)</w:t>
            </w:r>
          </w:p>
        </w:tc>
        <w:tc>
          <w:tcPr>
            <w:tcW w:type="dxa" w:w="2160"/>
          </w:tcPr>
          <w:p>
            <w:r>
              <w:t>182,768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</w:tr>
      <w:tr>
        <w:tc>
          <w:tcPr>
            <w:tcW w:type="dxa" w:w="2160"/>
          </w:tcPr>
          <w:p>
            <w:r>
              <w:t>L2 (Low; calibration mesh)</w:t>
            </w:r>
          </w:p>
        </w:tc>
        <w:tc>
          <w:tcPr>
            <w:tcW w:type="dxa" w:w="2160"/>
          </w:tcPr>
          <w:p>
            <w:r>
              <w:t>802,365</w:t>
            </w:r>
          </w:p>
        </w:tc>
        <w:tc>
          <w:tcPr>
            <w:tcW w:type="dxa" w:w="2160"/>
          </w:tcPr>
          <w:p>
            <w:r>
              <w:t>0.1387</w:t>
            </w:r>
          </w:p>
        </w:tc>
        <w:tc>
          <w:tcPr>
            <w:tcW w:type="dxa" w:w="2160"/>
          </w:tcPr>
          <w:p>
            <w:r>
              <w:t>-26.2</w:t>
            </w:r>
          </w:p>
        </w:tc>
      </w:tr>
      <w:tr>
        <w:tc>
          <w:tcPr>
            <w:tcW w:type="dxa" w:w="2160"/>
          </w:tcPr>
          <w:p>
            <w:r>
              <w:t>L3 (Medium)</w:t>
            </w:r>
          </w:p>
        </w:tc>
        <w:tc>
          <w:tcPr>
            <w:tcW w:type="dxa" w:w="2160"/>
          </w:tcPr>
          <w:p>
            <w:r>
              <w:t>3,454,723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</w:tr>
      <w:tr>
        <w:tc>
          <w:tcPr>
            <w:tcW w:type="dxa" w:w="2160"/>
          </w:tcPr>
          <w:p>
            <w:r>
              <w:t>L4 (High)</w:t>
            </w:r>
          </w:p>
        </w:tc>
        <w:tc>
          <w:tcPr>
            <w:tcW w:type="dxa" w:w="2160"/>
          </w:tcPr>
          <w:p>
            <w:r>
              <w:t>4,990,080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</w:tr>
      <w:tr>
        <w:tc>
          <w:tcPr>
            <w:tcW w:type="dxa" w:w="2160"/>
          </w:tcPr>
          <w:p>
            <w:r>
              <w:t>L5 (Very High)</w:t>
            </w:r>
          </w:p>
        </w:tc>
        <w:tc>
          <w:tcPr>
            <w:tcW w:type="dxa" w:w="2160"/>
          </w:tcPr>
          <w:p>
            <w:r>
              <w:t>11,958,220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</w:tr>
      <w:tr>
        <w:tc>
          <w:tcPr>
            <w:tcW w:type="dxa" w:w="2160"/>
          </w:tcPr>
          <w:p>
            <w:r>
              <w:t>L6 (Ultra High; validation mesh, reference)</w:t>
            </w:r>
          </w:p>
        </w:tc>
        <w:tc>
          <w:tcPr>
            <w:tcW w:type="dxa" w:w="2160"/>
          </w:tcPr>
          <w:p>
            <w:r>
              <w:t>18,864,900</w:t>
            </w:r>
          </w:p>
        </w:tc>
        <w:tc>
          <w:tcPr>
            <w:tcW w:type="dxa" w:w="2160"/>
          </w:tcPr>
          <w:p>
            <w:r>
              <w:t>0.1880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Table S3. Comparison between adaptive and uniform meshes at approximately 800,000 elements.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Mesh type</w:t>
            </w:r>
          </w:p>
        </w:tc>
        <w:tc>
          <w:tcPr>
            <w:tcW w:type="dxa" w:w="2160"/>
          </w:tcPr>
          <w:p>
            <w:r>
              <w:t>Elements</w:t>
            </w:r>
          </w:p>
        </w:tc>
        <w:tc>
          <w:tcPr>
            <w:tcW w:type="dxa" w:w="2160"/>
          </w:tcPr>
          <w:p>
            <w:r>
              <w:t>Mass loss (%)</w:t>
            </w:r>
          </w:p>
        </w:tc>
        <w:tc>
          <w:tcPr>
            <w:tcW w:type="dxa" w:w="2160"/>
          </w:tcPr>
          <w:p>
            <w:r>
              <w:t>Error vs. 18.9M mesh (%)</w:t>
            </w:r>
          </w:p>
        </w:tc>
      </w:tr>
      <w:tr>
        <w:tc>
          <w:tcPr>
            <w:tcW w:type="dxa" w:w="2160"/>
          </w:tcPr>
          <w:p>
            <w:r>
              <w:t>Uniform Mesh</w:t>
            </w:r>
          </w:p>
        </w:tc>
        <w:tc>
          <w:tcPr>
            <w:tcW w:type="dxa" w:w="2160"/>
          </w:tcPr>
          <w:p>
            <w:r>
              <w:t>799,520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  <w:tc>
          <w:tcPr>
            <w:tcW w:type="dxa" w:w="2160"/>
          </w:tcPr>
          <w:p>
            <w:r>
              <w:t>[to be supplied]</w:t>
            </w:r>
          </w:p>
        </w:tc>
      </w:tr>
      <w:tr>
        <w:tc>
          <w:tcPr>
            <w:tcW w:type="dxa" w:w="2160"/>
          </w:tcPr>
          <w:p>
            <w:r>
              <w:t>Adaptive Mesh</w:t>
            </w:r>
          </w:p>
        </w:tc>
        <w:tc>
          <w:tcPr>
            <w:tcW w:type="dxa" w:w="2160"/>
          </w:tcPr>
          <w:p>
            <w:r>
              <w:t>802,365</w:t>
            </w:r>
          </w:p>
        </w:tc>
        <w:tc>
          <w:tcPr>
            <w:tcW w:type="dxa" w:w="2160"/>
          </w:tcPr>
          <w:p>
            <w:r>
              <w:t>0.1387</w:t>
            </w:r>
          </w:p>
        </w:tc>
        <w:tc>
          <w:tcPr>
            <w:tcW w:type="dxa" w:w="2160"/>
          </w:tcPr>
          <w:p>
            <w:r>
              <w:t>-26.2</w:t>
            </w:r>
          </w:p>
        </w:tc>
      </w:tr>
      <w:tr>
        <w:tc>
          <w:tcPr>
            <w:tcW w:type="dxa" w:w="2160"/>
          </w:tcPr>
          <w:p>
            <w:r>
              <w:t>Fine mesh (reference)</w:t>
            </w:r>
          </w:p>
        </w:tc>
        <w:tc>
          <w:tcPr>
            <w:tcW w:type="dxa" w:w="2160"/>
          </w:tcPr>
          <w:p>
            <w:r>
              <w:t>18,864,900</w:t>
            </w:r>
          </w:p>
        </w:tc>
        <w:tc>
          <w:tcPr>
            <w:tcW w:type="dxa" w:w="2160"/>
          </w:tcPr>
          <w:p>
            <w:r>
              <w:t>0.1880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Basis: fine mass loss = 0.1880% (7-day simulated value of the 18.9M validation mesh, Table S11 / Fig. 5a); coarse = fine / 1.355846 = 0.1387%. The L1, L3–L5 and uniform-mesh values are not derivable from this relation and need the simulation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