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S1),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above and below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r w:rsidR="004A6E12" w:rsidRPr="001A2EB4">
              <w:rPr>
                <w:rFonts w:cs="Times New Roman"/>
                <w:sz w:val="22"/>
                <w:szCs w:val="22"/>
              </w:rPr>
            </w:r>
            <w:r w:rsidRPr="001A2EB4">
              <w:rPr>
                <w:rFonts w:cs="Times New Roman"/>
                <w:sz w:val="22"/>
                <w:szCs w:val="22"/>
              </w:rPr>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r w:rsidR="004A6E12" w:rsidRPr="001A2EB4">
              <w:rPr>
                <w:rFonts w:cs="Times New Roman"/>
                <w:sz w:val="22"/>
                <w:szCs w:val="22"/>
              </w:rPr>
            </w:r>
            <w:r w:rsidRPr="001A2EB4">
              <w:rPr>
                <w:rFonts w:cs="Times New Roman"/>
                <w:sz w:val="22"/>
                <w:szCs w:val="22"/>
              </w:rPr>
            </w:r>
            <w:r w:rsidR="004A6E12" w:rsidRPr="001A2EB4">
              <w:rPr>
                <w:rFonts w:cs="Times New Roman"/>
                <w:sz w:val="22"/>
                <w:szCs w:val="22"/>
              </w:rPr>
            </w:r>
            <w:r w:rsidRPr="001A2EB4">
              <w:rPr>
                <w:rFonts w:cs="Times New Roman"/>
                <w:sz w:val="22"/>
                <w:szCs w:val="22"/>
              </w:rPr>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 xml:space="preserve">Figure S8</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 Independent measurements of Zn²⁺ release by ICP and direct mechanism tests, such as film thickness from FIB or SEM cross-sections or stirred and different-O₂ experiments, were not performed and are also needed.</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